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Cookie Policy   |   Sharde Media and Productions Pvt. Ltd.   |   DPDP Act 2023 &amp; ePrivacy Aligned</w:t>
      </w:r>
    </w:p>
    <w:p>
      <w:pPr>
        <w:spacing w:after="80" w:before="240"/>
        <w:jc w:val="left"/>
      </w:pPr>
      <w:r>
        <w:rPr>
          <w:rFonts w:ascii="Calibri" w:cs="Calibri" w:eastAsia="Calibri" w:hAnsi="Calibri"/>
          <w:b/>
          <w:bCs/>
          <w:color w:val="1F3864"/>
          <w:sz w:val="36"/>
          <w:szCs w:val="36"/>
        </w:rPr>
        <w:t xml:space="preserve">COOKIE &amp; TRACKING TECHNOLOGIES POLICY</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Email: privacy@riseupcreators.com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and Relationship to Privacy Policy</w:t>
            </w:r>
          </w:p>
          <w:p>
            <w:pPr>
              <w:spacing w:after="0"/>
            </w:pPr>
            <w:r>
              <w:rPr>
                <w:rFonts w:ascii="Calibri" w:cs="Calibri" w:eastAsia="Calibri" w:hAnsi="Calibri"/>
                <w:sz w:val="22"/>
                <w:szCs w:val="22"/>
              </w:rPr>
              <w:t xml:space="preserve">This Cookie Policy explains how Sharde Media and Productions Pvt. Ltd. and its authorised processors use cookies, software development kits (SDKs), pixels, web beacons, local storage, session storage, device identifiers, and other tracking technologies (collectively, “Cookies and Similar Technologies”) on the RiseUp Creators Platform. It forms part of the Agreement and must be read together with the Privacy Policy (§15 of which incorporates this Cookie Policy by reference) and the Terms of Service. Where this Policy and the Privacy Policy address overlapping subject matter, the more specific provision prevails.</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Definitions and Interpretation</w:t>
      </w:r>
    </w:p>
    <w:p>
      <w:pPr>
        <w:spacing w:after="120" w:line="300"/>
      </w:pPr>
      <w:r>
        <w:rPr>
          <w:rFonts w:ascii="Calibri" w:cs="Calibri" w:eastAsia="Calibri" w:hAnsi="Calibri"/>
          <w:sz w:val="22"/>
          <w:szCs w:val="22"/>
        </w:rPr>
        <w:t xml:space="preserve">In this Policy, capitalised terms not defined here have the meanings given in the Terms of Service and the Privacy Policy. The following terms apply specifically to this Policy: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Cookie</w:t>
      </w:r>
      <w:r>
        <w:rPr>
          <w:rFonts w:ascii="Calibri" w:cs="Calibri" w:eastAsia="Calibri" w:hAnsi="Calibri"/>
          <w:sz w:val="22"/>
          <w:szCs w:val="22"/>
        </w:rPr>
        <w:t xml:space="preserve">” means </w:t>
      </w:r>
      <w:r>
        <w:rPr>
          <w:rFonts w:ascii="Calibri" w:cs="Calibri" w:eastAsia="Calibri" w:hAnsi="Calibri"/>
          <w:sz w:val="22"/>
          <w:szCs w:val="22"/>
        </w:rPr>
        <w:t xml:space="preserve">a small text file placed on your device by a website or application to store information that can be read on subsequent visits, including first-party Cookies set by RiseUp and third-party Cookies set by service providers, advertising partners, embedded content providers, and analytics vendors.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SDK” or “Software Development Kit</w:t>
      </w:r>
      <w:r>
        <w:rPr>
          <w:rFonts w:ascii="Calibri" w:cs="Calibri" w:eastAsia="Calibri" w:hAnsi="Calibri"/>
          <w:sz w:val="22"/>
          <w:szCs w:val="22"/>
        </w:rPr>
        <w:t xml:space="preserve">” means </w:t>
      </w:r>
      <w:r>
        <w:rPr>
          <w:rFonts w:ascii="Calibri" w:cs="Calibri" w:eastAsia="Calibri" w:hAnsi="Calibri"/>
          <w:sz w:val="22"/>
          <w:szCs w:val="22"/>
        </w:rPr>
        <w:t xml:space="preserve">a set of software development tools embedded within the RiseUp Creators mobile applications that may collect device, usage, and identifier information.</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Pixel” or “Tracking Pixel</w:t>
      </w:r>
      <w:r>
        <w:rPr>
          <w:rFonts w:ascii="Calibri" w:cs="Calibri" w:eastAsia="Calibri" w:hAnsi="Calibri"/>
          <w:sz w:val="22"/>
          <w:szCs w:val="22"/>
        </w:rPr>
        <w:t xml:space="preserve">” means </w:t>
      </w:r>
      <w:r>
        <w:rPr>
          <w:rFonts w:ascii="Calibri" w:cs="Calibri" w:eastAsia="Calibri" w:hAnsi="Calibri"/>
          <w:sz w:val="22"/>
          <w:szCs w:val="22"/>
        </w:rPr>
        <w:t xml:space="preserve">a tiny transparent image or HTML element embedded in a webpage or email that registers a visit, open, or interaction.</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Web Beacon</w:t>
      </w:r>
      <w:r>
        <w:rPr>
          <w:rFonts w:ascii="Calibri" w:cs="Calibri" w:eastAsia="Calibri" w:hAnsi="Calibri"/>
          <w:sz w:val="22"/>
          <w:szCs w:val="22"/>
        </w:rPr>
        <w:t xml:space="preserve">” means </w:t>
      </w:r>
      <w:r>
        <w:rPr>
          <w:rFonts w:ascii="Calibri" w:cs="Calibri" w:eastAsia="Calibri" w:hAnsi="Calibri"/>
          <w:sz w:val="22"/>
          <w:szCs w:val="22"/>
        </w:rPr>
        <w:t xml:space="preserve">an embedded tracking element used to record actions taken by a User in connection with the Platform or communications received.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Local Storage” and “Session Storage</w:t>
      </w:r>
      <w:r>
        <w:rPr>
          <w:rFonts w:ascii="Calibri" w:cs="Calibri" w:eastAsia="Calibri" w:hAnsi="Calibri"/>
          <w:sz w:val="22"/>
          <w:szCs w:val="22"/>
        </w:rPr>
        <w:t xml:space="preserve">” means </w:t>
      </w:r>
      <w:r>
        <w:rPr>
          <w:rFonts w:ascii="Calibri" w:cs="Calibri" w:eastAsia="Calibri" w:hAnsi="Calibri"/>
          <w:sz w:val="22"/>
          <w:szCs w:val="22"/>
        </w:rPr>
        <w:t xml:space="preserve">HTML5 web storage mechanisms that store data on the User's device for the duration of the session (session storage) or persistently (local storage).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Device Identifier</w:t>
      </w:r>
      <w:r>
        <w:rPr>
          <w:rFonts w:ascii="Calibri" w:cs="Calibri" w:eastAsia="Calibri" w:hAnsi="Calibri"/>
          <w:sz w:val="22"/>
          <w:szCs w:val="22"/>
        </w:rPr>
        <w:t xml:space="preserve">” means </w:t>
      </w:r>
      <w:r>
        <w:rPr>
          <w:rFonts w:ascii="Calibri" w:cs="Calibri" w:eastAsia="Calibri" w:hAnsi="Calibri"/>
          <w:sz w:val="22"/>
          <w:szCs w:val="22"/>
        </w:rPr>
        <w:t xml:space="preserve">any persistent or resettable identifier assigned to a User's device, including IDFA (Identifier for Advertisers) on iOS, GAID (Google Advertising ID) on Android, OAID (Open Advertising ID), and similar identifiers.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Fingerprinting</w:t>
      </w:r>
      <w:r>
        <w:rPr>
          <w:rFonts w:ascii="Calibri" w:cs="Calibri" w:eastAsia="Calibri" w:hAnsi="Calibri"/>
          <w:sz w:val="22"/>
          <w:szCs w:val="22"/>
        </w:rPr>
        <w:t xml:space="preserve">” means </w:t>
      </w:r>
      <w:r>
        <w:rPr>
          <w:rFonts w:ascii="Calibri" w:cs="Calibri" w:eastAsia="Calibri" w:hAnsi="Calibri"/>
          <w:sz w:val="22"/>
          <w:szCs w:val="22"/>
        </w:rPr>
        <w:t xml:space="preserve">the technique of collecting device and browser configuration data points to recognise a User across visits in the absence of cookies. RiseUp does not use Fingerprinting for advertising purposes; limited fingerprinting is used solely for fraud prevention and security (see §5).</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Consent</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§6 of the DPDP Act and §1.2 of this Policy: free, informed, specific, unconditional, unambiguous, and given through clear affirmative action.</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Global Privacy Control” or “GPC</w:t>
      </w:r>
      <w:r>
        <w:rPr>
          <w:rFonts w:ascii="Calibri" w:cs="Calibri" w:eastAsia="Calibri" w:hAnsi="Calibri"/>
          <w:sz w:val="22"/>
          <w:szCs w:val="22"/>
        </w:rPr>
        <w:t xml:space="preserve">” means </w:t>
      </w:r>
      <w:r>
        <w:rPr>
          <w:rFonts w:ascii="Calibri" w:cs="Calibri" w:eastAsia="Calibri" w:hAnsi="Calibri"/>
          <w:sz w:val="22"/>
          <w:szCs w:val="22"/>
        </w:rPr>
        <w:t xml:space="preserve">the browser- or device-level signal communicating a User's opt-out preference, recognised under the California Privacy Rights Act and several other privacy regimes.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Do Not Track” or “DNT</w:t>
      </w:r>
      <w:r>
        <w:rPr>
          <w:rFonts w:ascii="Calibri" w:cs="Calibri" w:eastAsia="Calibri" w:hAnsi="Calibri"/>
          <w:sz w:val="22"/>
          <w:szCs w:val="22"/>
        </w:rPr>
        <w:t xml:space="preserve">” means </w:t>
      </w:r>
      <w:r>
        <w:rPr>
          <w:rFonts w:ascii="Calibri" w:cs="Calibri" w:eastAsia="Calibri" w:hAnsi="Calibri"/>
          <w:sz w:val="22"/>
          <w:szCs w:val="22"/>
        </w:rPr>
        <w:t xml:space="preserve">the legacy browser-level signal preceding GPC. RiseUp's treatment of DNT is set out in §11.</w:t>
      </w:r>
    </w:p>
    <w:p>
      <w:pPr>
        <w:pStyle w:val="Heading1"/>
        <w:spacing w:after="180" w:before="360" w:line="300"/>
      </w:pPr>
      <w:r>
        <w:rPr>
          <w:rFonts w:ascii="Calibri" w:cs="Calibri" w:eastAsia="Calibri" w:hAnsi="Calibri"/>
          <w:b/>
          <w:bCs/>
          <w:color w:val="1F3864"/>
          <w:sz w:val="30"/>
          <w:szCs w:val="30"/>
        </w:rPr>
        <w:t xml:space="preserve">2. Why We Use Cookies and Similar Technologies</w:t>
      </w:r>
    </w:p>
    <w:p>
      <w:pPr>
        <w:spacing w:after="120" w:line="300"/>
      </w:pPr>
      <w:r>
        <w:rPr>
          <w:rFonts w:ascii="Calibri" w:cs="Calibri" w:eastAsia="Calibri" w:hAnsi="Calibri"/>
          <w:sz w:val="22"/>
          <w:szCs w:val="22"/>
        </w:rPr>
        <w:t xml:space="preserve">We use Cookies and Similar Technologies to:</w:t>
      </w:r>
    </w:p>
    <w:p>
      <w:pPr>
        <w:pStyle w:val="ListParagraph"/>
        <w:numPr>
          <w:ilvl w:val="0"/>
          <w:numId w:val="2"/>
        </w:numPr>
        <w:spacing w:after="80" w:line="280"/>
      </w:pPr>
      <w:r>
        <w:rPr>
          <w:rFonts w:ascii="Calibri" w:cs="Calibri" w:eastAsia="Calibri" w:hAnsi="Calibri"/>
          <w:b/>
          <w:bCs/>
          <w:sz w:val="22"/>
          <w:szCs w:val="22"/>
        </w:rPr>
        <w:t xml:space="preserve">Operate the Platform</w:t>
      </w:r>
      <w:r>
        <w:rPr>
          <w:rFonts w:ascii="Calibri" w:cs="Calibri" w:eastAsia="Calibri" w:hAnsi="Calibri"/>
          <w:sz w:val="22"/>
          <w:szCs w:val="22"/>
        </w:rPr>
        <w:t xml:space="preserve">: maintain your login session, balance traffic across servers, remember items in your cart, route you to the correct regional infrastructure, and enable security features such as anti-CSRF tokens and bot detection;</w:t>
      </w:r>
    </w:p>
    <w:p>
      <w:pPr>
        <w:pStyle w:val="ListParagraph"/>
        <w:numPr>
          <w:ilvl w:val="0"/>
          <w:numId w:val="2"/>
        </w:numPr>
        <w:spacing w:after="80" w:line="280"/>
      </w:pPr>
      <w:r>
        <w:rPr>
          <w:rFonts w:ascii="Calibri" w:cs="Calibri" w:eastAsia="Calibri" w:hAnsi="Calibri"/>
          <w:b/>
          <w:bCs/>
          <w:sz w:val="22"/>
          <w:szCs w:val="22"/>
        </w:rPr>
        <w:t xml:space="preserve">Secure the Platform</w:t>
      </w:r>
      <w:r>
        <w:rPr>
          <w:rFonts w:ascii="Calibri" w:cs="Calibri" w:eastAsia="Calibri" w:hAnsi="Calibri"/>
          <w:sz w:val="22"/>
          <w:szCs w:val="22"/>
        </w:rPr>
        <w:t xml:space="preserve">: detect and prevent fraud, abuse, account takeover, credential stuffing, denial-of-service attacks, and other security incidents;</w:t>
      </w:r>
    </w:p>
    <w:p>
      <w:pPr>
        <w:pStyle w:val="ListParagraph"/>
        <w:numPr>
          <w:ilvl w:val="0"/>
          <w:numId w:val="2"/>
        </w:numPr>
        <w:spacing w:after="80" w:line="280"/>
      </w:pPr>
      <w:r>
        <w:rPr>
          <w:rFonts w:ascii="Calibri" w:cs="Calibri" w:eastAsia="Calibri" w:hAnsi="Calibri"/>
          <w:b/>
          <w:bCs/>
          <w:sz w:val="22"/>
          <w:szCs w:val="22"/>
        </w:rPr>
        <w:t xml:space="preserve">Provide functionality</w:t>
      </w:r>
      <w:r>
        <w:rPr>
          <w:rFonts w:ascii="Calibri" w:cs="Calibri" w:eastAsia="Calibri" w:hAnsi="Calibri"/>
          <w:sz w:val="22"/>
          <w:szCs w:val="22"/>
        </w:rPr>
        <w:t xml:space="preserve">: remember your language preference, accessibility settings, dark/light mode, font size, region, and other personalisation choices;</w:t>
      </w:r>
    </w:p>
    <w:p>
      <w:pPr>
        <w:pStyle w:val="ListParagraph"/>
        <w:numPr>
          <w:ilvl w:val="0"/>
          <w:numId w:val="2"/>
        </w:numPr>
        <w:spacing w:after="80" w:line="280"/>
      </w:pPr>
      <w:r>
        <w:rPr>
          <w:rFonts w:ascii="Calibri" w:cs="Calibri" w:eastAsia="Calibri" w:hAnsi="Calibri"/>
          <w:b/>
          <w:bCs/>
          <w:sz w:val="22"/>
          <w:szCs w:val="22"/>
        </w:rPr>
        <w:t xml:space="preserve">Understand usage</w:t>
      </w:r>
      <w:r>
        <w:rPr>
          <w:rFonts w:ascii="Calibri" w:cs="Calibri" w:eastAsia="Calibri" w:hAnsi="Calibri"/>
          <w:sz w:val="22"/>
          <w:szCs w:val="22"/>
        </w:rPr>
        <w:t xml:space="preserve">: analyse how Users discover, browse, and interact with the Platform (where you have consented, or where lawful without consent under Applicable Law);</w:t>
      </w:r>
    </w:p>
    <w:p>
      <w:pPr>
        <w:pStyle w:val="ListParagraph"/>
        <w:numPr>
          <w:ilvl w:val="0"/>
          <w:numId w:val="2"/>
        </w:numPr>
        <w:spacing w:after="80" w:line="280"/>
      </w:pPr>
      <w:r>
        <w:rPr>
          <w:rFonts w:ascii="Calibri" w:cs="Calibri" w:eastAsia="Calibri" w:hAnsi="Calibri"/>
          <w:b/>
          <w:bCs/>
          <w:sz w:val="22"/>
          <w:szCs w:val="22"/>
        </w:rPr>
        <w:t xml:space="preserve">Measure performance</w:t>
      </w:r>
      <w:r>
        <w:rPr>
          <w:rFonts w:ascii="Calibri" w:cs="Calibri" w:eastAsia="Calibri" w:hAnsi="Calibri"/>
          <w:sz w:val="22"/>
          <w:szCs w:val="22"/>
        </w:rPr>
        <w:t xml:space="preserve">: identify slow pages, crashes, and errors so we can improve the Platform;</w:t>
      </w:r>
    </w:p>
    <w:p>
      <w:pPr>
        <w:pStyle w:val="ListParagraph"/>
        <w:numPr>
          <w:ilvl w:val="0"/>
          <w:numId w:val="2"/>
        </w:numPr>
        <w:spacing w:after="80" w:line="280"/>
      </w:pPr>
      <w:r>
        <w:rPr>
          <w:rFonts w:ascii="Calibri" w:cs="Calibri" w:eastAsia="Calibri" w:hAnsi="Calibri"/>
          <w:b/>
          <w:bCs/>
          <w:sz w:val="22"/>
          <w:szCs w:val="22"/>
        </w:rPr>
        <w:t xml:space="preserve">Deliver advertising</w:t>
      </w:r>
      <w:r>
        <w:rPr>
          <w:rFonts w:ascii="Calibri" w:cs="Calibri" w:eastAsia="Calibri" w:hAnsi="Calibri"/>
          <w:sz w:val="22"/>
          <w:szCs w:val="22"/>
        </w:rPr>
        <w:t xml:space="preserve">: where you have consented, display advertising relevant to your interests, control ad frequency, and measure advertising effectiveness for our Advertisers;</w:t>
      </w:r>
    </w:p>
    <w:p>
      <w:pPr>
        <w:pStyle w:val="ListParagraph"/>
        <w:numPr>
          <w:ilvl w:val="0"/>
          <w:numId w:val="2"/>
        </w:numPr>
        <w:spacing w:after="80" w:line="280"/>
      </w:pPr>
      <w:r>
        <w:rPr>
          <w:rFonts w:ascii="Calibri" w:cs="Calibri" w:eastAsia="Calibri" w:hAnsi="Calibri"/>
          <w:b/>
          <w:bCs/>
          <w:sz w:val="22"/>
          <w:szCs w:val="22"/>
        </w:rPr>
        <w:t xml:space="preserve">Enable Creator monetization</w:t>
      </w:r>
      <w:r>
        <w:rPr>
          <w:rFonts w:ascii="Calibri" w:cs="Calibri" w:eastAsia="Calibri" w:hAnsi="Calibri"/>
          <w:sz w:val="22"/>
          <w:szCs w:val="22"/>
        </w:rPr>
        <w:t xml:space="preserve">: attribute views, watch time, and conversions to the correct Creator, Merchant, Event Organizer, or Affiliate for accurate payout calculation;</w:t>
      </w:r>
    </w:p>
    <w:p>
      <w:pPr>
        <w:pStyle w:val="ListParagraph"/>
        <w:numPr>
          <w:ilvl w:val="0"/>
          <w:numId w:val="2"/>
        </w:numPr>
        <w:spacing w:after="80" w:line="280"/>
      </w:pPr>
      <w:r>
        <w:rPr>
          <w:rFonts w:ascii="Calibri" w:cs="Calibri" w:eastAsia="Calibri" w:hAnsi="Calibri"/>
          <w:b/>
          <w:bCs/>
          <w:sz w:val="22"/>
          <w:szCs w:val="22"/>
        </w:rPr>
        <w:t xml:space="preserve">Comply with law</w:t>
      </w:r>
      <w:r>
        <w:rPr>
          <w:rFonts w:ascii="Calibri" w:cs="Calibri" w:eastAsia="Calibri" w:hAnsi="Calibri"/>
          <w:sz w:val="22"/>
          <w:szCs w:val="22"/>
        </w:rPr>
        <w:t xml:space="preserve">: maintain transaction records, audit logs, and consent records as required by the IT Act, IT Rules 2021, DPDP Act, Income Tax Act, GST Act, and PMLA.</w:t>
      </w:r>
    </w:p>
    <w:p>
      <w:pPr>
        <w:pStyle w:val="Heading1"/>
        <w:spacing w:after="180" w:before="360" w:line="300"/>
      </w:pPr>
      <w:r>
        <w:rPr>
          <w:rFonts w:ascii="Calibri" w:cs="Calibri" w:eastAsia="Calibri" w:hAnsi="Calibri"/>
          <w:b/>
          <w:bCs/>
          <w:color w:val="1F3864"/>
          <w:sz w:val="30"/>
          <w:szCs w:val="30"/>
        </w:rPr>
        <w:t xml:space="preserve">3. Categories of Cookies and Similar Technologies We Use</w:t>
      </w:r>
    </w:p>
    <w:p>
      <w:pPr>
        <w:spacing w:after="120" w:line="300"/>
      </w:pPr>
      <w:r>
        <w:rPr>
          <w:rFonts w:ascii="Calibri" w:cs="Calibri" w:eastAsia="Calibri" w:hAnsi="Calibri"/>
          <w:sz w:val="22"/>
          <w:szCs w:val="22"/>
        </w:rPr>
        <w:t xml:space="preserve">We classify Cookies and Similar Technologies into the following four categories. Detailed vendor-level disclosures are provided in Schedule A.</w:t>
      </w:r>
    </w:p>
    <w:p>
      <w:pPr>
        <w:pStyle w:val="Heading2"/>
        <w:spacing w:after="120" w:before="240" w:line="300"/>
      </w:pPr>
      <w:r>
        <w:rPr>
          <w:rFonts w:ascii="Calibri" w:cs="Calibri" w:eastAsia="Calibri" w:hAnsi="Calibri"/>
          <w:b/>
          <w:bCs/>
          <w:color w:val="2E5496"/>
          <w:sz w:val="26"/>
          <w:szCs w:val="26"/>
        </w:rPr>
        <w:t xml:space="preserve">A. Strictly Necessary Cookies</w:t>
      </w:r>
    </w:p>
    <w:p>
      <w:pPr>
        <w:spacing w:after="120" w:line="300"/>
      </w:pPr>
      <w:r>
        <w:rPr>
          <w:rFonts w:ascii="Calibri" w:cs="Calibri" w:eastAsia="Calibri" w:hAnsi="Calibri"/>
          <w:sz w:val="22"/>
          <w:szCs w:val="22"/>
        </w:rPr>
        <w:t xml:space="preserve">These Cookies are essential for the Platform to function and cannot be disabled without breaking core functionality. They do not require Consent under §7(b) of the DPDP Act (legitimate use of providing the service requested) and Article 5(3) of the ePrivacy Directive (Cookies strictly necessary for an information society service explicitly requested by the User).</w:t>
      </w:r>
    </w:p>
    <w:p>
      <w:pPr>
        <w:spacing w:after="120" w:line="300"/>
      </w:pPr>
      <w:r>
        <w:rPr>
          <w:rFonts w:ascii="Calibri" w:cs="Calibri" w:eastAsia="Calibri" w:hAnsi="Calibri"/>
          <w:sz w:val="22"/>
          <w:szCs w:val="22"/>
        </w:rPr>
        <w:t xml:space="preserve">Purposes include:</w:t>
      </w:r>
    </w:p>
    <w:p>
      <w:pPr>
        <w:pStyle w:val="ListParagraph"/>
        <w:numPr>
          <w:ilvl w:val="0"/>
          <w:numId w:val="2"/>
        </w:numPr>
        <w:spacing w:after="80" w:line="280"/>
      </w:pPr>
      <w:r>
        <w:rPr>
          <w:rFonts w:ascii="Calibri" w:cs="Calibri" w:eastAsia="Calibri" w:hAnsi="Calibri"/>
          <w:sz w:val="22"/>
          <w:szCs w:val="22"/>
        </w:rPr>
        <w:t xml:space="preserve">Maintaining your authenticated session;</w:t>
      </w:r>
    </w:p>
    <w:p>
      <w:pPr>
        <w:pStyle w:val="ListParagraph"/>
        <w:numPr>
          <w:ilvl w:val="0"/>
          <w:numId w:val="2"/>
        </w:numPr>
        <w:spacing w:after="80" w:line="280"/>
      </w:pPr>
      <w:r>
        <w:rPr>
          <w:rFonts w:ascii="Calibri" w:cs="Calibri" w:eastAsia="Calibri" w:hAnsi="Calibri"/>
          <w:sz w:val="22"/>
          <w:szCs w:val="22"/>
        </w:rPr>
        <w:t xml:space="preserve">Routing requests to the correct backend service;</w:t>
      </w:r>
    </w:p>
    <w:p>
      <w:pPr>
        <w:pStyle w:val="ListParagraph"/>
        <w:numPr>
          <w:ilvl w:val="0"/>
          <w:numId w:val="2"/>
        </w:numPr>
        <w:spacing w:after="80" w:line="280"/>
      </w:pPr>
      <w:r>
        <w:rPr>
          <w:rFonts w:ascii="Calibri" w:cs="Calibri" w:eastAsia="Calibri" w:hAnsi="Calibri"/>
          <w:sz w:val="22"/>
          <w:szCs w:val="22"/>
        </w:rPr>
        <w:t xml:space="preserve">Storing your Cookie preferences themselves (so we remember your choices);</w:t>
      </w:r>
    </w:p>
    <w:p>
      <w:pPr>
        <w:pStyle w:val="ListParagraph"/>
        <w:numPr>
          <w:ilvl w:val="0"/>
          <w:numId w:val="2"/>
        </w:numPr>
        <w:spacing w:after="80" w:line="280"/>
      </w:pPr>
      <w:r>
        <w:rPr>
          <w:rFonts w:ascii="Calibri" w:cs="Calibri" w:eastAsia="Calibri" w:hAnsi="Calibri"/>
          <w:sz w:val="22"/>
          <w:szCs w:val="22"/>
        </w:rPr>
        <w:t xml:space="preserve">Anti-CSRF protection;</w:t>
      </w:r>
    </w:p>
    <w:p>
      <w:pPr>
        <w:pStyle w:val="ListParagraph"/>
        <w:numPr>
          <w:ilvl w:val="0"/>
          <w:numId w:val="2"/>
        </w:numPr>
        <w:spacing w:after="80" w:line="280"/>
      </w:pPr>
      <w:r>
        <w:rPr>
          <w:rFonts w:ascii="Calibri" w:cs="Calibri" w:eastAsia="Calibri" w:hAnsi="Calibri"/>
          <w:sz w:val="22"/>
          <w:szCs w:val="22"/>
        </w:rPr>
        <w:t xml:space="preserve">Load balancing across servers;</w:t>
      </w:r>
    </w:p>
    <w:p>
      <w:pPr>
        <w:pStyle w:val="ListParagraph"/>
        <w:numPr>
          <w:ilvl w:val="0"/>
          <w:numId w:val="2"/>
        </w:numPr>
        <w:spacing w:after="80" w:line="280"/>
      </w:pPr>
      <w:r>
        <w:rPr>
          <w:rFonts w:ascii="Calibri" w:cs="Calibri" w:eastAsia="Calibri" w:hAnsi="Calibri"/>
          <w:sz w:val="22"/>
          <w:szCs w:val="22"/>
        </w:rPr>
        <w:t xml:space="preserve">Bot and fraud detection;</w:t>
      </w:r>
    </w:p>
    <w:p>
      <w:pPr>
        <w:pStyle w:val="ListParagraph"/>
        <w:numPr>
          <w:ilvl w:val="0"/>
          <w:numId w:val="2"/>
        </w:numPr>
        <w:spacing w:after="80" w:line="280"/>
      </w:pPr>
      <w:r>
        <w:rPr>
          <w:rFonts w:ascii="Calibri" w:cs="Calibri" w:eastAsia="Calibri" w:hAnsi="Calibri"/>
          <w:sz w:val="22"/>
          <w:szCs w:val="22"/>
        </w:rPr>
        <w:t xml:space="preserve">Processing payment transactions and tokenisation in compliance with RBI Card-on-File Tokenisation Guidelines;</w:t>
      </w:r>
    </w:p>
    <w:p>
      <w:pPr>
        <w:pStyle w:val="ListParagraph"/>
        <w:numPr>
          <w:ilvl w:val="0"/>
          <w:numId w:val="2"/>
        </w:numPr>
        <w:spacing w:after="80" w:line="280"/>
      </w:pPr>
      <w:r>
        <w:rPr>
          <w:rFonts w:ascii="Calibri" w:cs="Calibri" w:eastAsia="Calibri" w:hAnsi="Calibri"/>
          <w:sz w:val="22"/>
          <w:szCs w:val="22"/>
        </w:rPr>
        <w:t xml:space="preserve">Maintaining the integrity of the shopping cart, ticket reservation, and checkout flow;</w:t>
      </w:r>
    </w:p>
    <w:p>
      <w:pPr>
        <w:pStyle w:val="ListParagraph"/>
        <w:numPr>
          <w:ilvl w:val="0"/>
          <w:numId w:val="2"/>
        </w:numPr>
        <w:spacing w:after="80" w:line="280"/>
      </w:pPr>
      <w:r>
        <w:rPr>
          <w:rFonts w:ascii="Calibri" w:cs="Calibri" w:eastAsia="Calibri" w:hAnsi="Calibri"/>
          <w:sz w:val="22"/>
          <w:szCs w:val="22"/>
        </w:rPr>
        <w:t xml:space="preserve">Recording your decision to accept or reject other Cookie categories.</w:t>
      </w:r>
    </w:p>
    <w:p>
      <w:pPr>
        <w:spacing w:after="120" w:line="300"/>
      </w:pPr>
      <w:r>
        <w:rPr>
          <w:rFonts w:ascii="Calibri" w:cs="Calibri" w:eastAsia="Calibri" w:hAnsi="Calibri"/>
          <w:sz w:val="22"/>
          <w:szCs w:val="22"/>
        </w:rPr>
        <w:t xml:space="preserve">You cannot opt out of Strictly Necessary Cookies through the Cookie Preferences interface. You may attempt to block them at the browser level, but doing so will prevent the Platform from functioning correctly.</w:t>
      </w:r>
    </w:p>
    <w:p>
      <w:pPr>
        <w:pStyle w:val="Heading2"/>
        <w:spacing w:after="120" w:before="240" w:line="300"/>
      </w:pPr>
      <w:r>
        <w:rPr>
          <w:rFonts w:ascii="Calibri" w:cs="Calibri" w:eastAsia="Calibri" w:hAnsi="Calibri"/>
          <w:b/>
          <w:bCs/>
          <w:color w:val="2E5496"/>
          <w:sz w:val="26"/>
          <w:szCs w:val="26"/>
        </w:rPr>
        <w:t xml:space="preserve">B. Functional Cookies</w:t>
      </w:r>
    </w:p>
    <w:p>
      <w:pPr>
        <w:spacing w:after="120" w:line="300"/>
      </w:pPr>
      <w:r>
        <w:rPr>
          <w:rFonts w:ascii="Calibri" w:cs="Calibri" w:eastAsia="Calibri" w:hAnsi="Calibri"/>
          <w:sz w:val="22"/>
          <w:szCs w:val="22"/>
        </w:rPr>
        <w:t xml:space="preserve">These Cookies enable enhanced functionality and personalisation, such as remembering your language, region, accessibility preferences, recently viewed Creators or products, and saved drafts. They are not strictly necessary for the Platform to function, but disabling them will degrade your experience.</w:t>
      </w:r>
    </w:p>
    <w:p>
      <w:pPr>
        <w:spacing w:after="120" w:line="300"/>
      </w:pPr>
      <w:r>
        <w:rPr>
          <w:rFonts w:ascii="Calibri" w:cs="Calibri" w:eastAsia="Calibri" w:hAnsi="Calibri"/>
          <w:sz w:val="22"/>
          <w:szCs w:val="22"/>
        </w:rPr>
        <w:t xml:space="preserve">Consent basis:</w:t>
      </w:r>
    </w:p>
    <w:p>
      <w:pPr>
        <w:pStyle w:val="ListParagraph"/>
        <w:numPr>
          <w:ilvl w:val="0"/>
          <w:numId w:val="2"/>
        </w:numPr>
        <w:spacing w:after="80" w:line="280"/>
      </w:pPr>
      <w:r>
        <w:rPr>
          <w:rFonts w:ascii="Calibri" w:cs="Calibri" w:eastAsia="Calibri" w:hAnsi="Calibri"/>
          <w:sz w:val="22"/>
          <w:szCs w:val="22"/>
        </w:rPr>
        <w:t xml:space="preserve">EU/EEA/UK Users: Consent (Article 6(1)(a) GDPR and Article 5(3) ePrivacy Directive);</w:t>
      </w:r>
    </w:p>
    <w:p>
      <w:pPr>
        <w:pStyle w:val="ListParagraph"/>
        <w:numPr>
          <w:ilvl w:val="0"/>
          <w:numId w:val="2"/>
        </w:numPr>
        <w:spacing w:after="80" w:line="280"/>
      </w:pPr>
      <w:r>
        <w:rPr>
          <w:rFonts w:ascii="Calibri" w:cs="Calibri" w:eastAsia="Calibri" w:hAnsi="Calibri"/>
          <w:sz w:val="22"/>
          <w:szCs w:val="22"/>
        </w:rPr>
        <w:t xml:space="preserve">Indian Users: Consent (§6 DPDP Act);</w:t>
      </w:r>
    </w:p>
    <w:p>
      <w:pPr>
        <w:pStyle w:val="ListParagraph"/>
        <w:numPr>
          <w:ilvl w:val="0"/>
          <w:numId w:val="2"/>
        </w:numPr>
        <w:spacing w:after="80" w:line="280"/>
      </w:pPr>
      <w:r>
        <w:rPr>
          <w:rFonts w:ascii="Calibri" w:cs="Calibri" w:eastAsia="Calibri" w:hAnsi="Calibri"/>
          <w:sz w:val="22"/>
          <w:szCs w:val="22"/>
        </w:rPr>
        <w:t xml:space="preserve">Other jurisdictions: Consent or opt-out as required by local law.</w:t>
      </w:r>
    </w:p>
    <w:p>
      <w:pPr>
        <w:pStyle w:val="Heading2"/>
        <w:spacing w:after="120" w:before="240" w:line="300"/>
      </w:pPr>
      <w:r>
        <w:rPr>
          <w:rFonts w:ascii="Calibri" w:cs="Calibri" w:eastAsia="Calibri" w:hAnsi="Calibri"/>
          <w:b/>
          <w:bCs/>
          <w:color w:val="2E5496"/>
          <w:sz w:val="26"/>
          <w:szCs w:val="26"/>
        </w:rPr>
        <w:t xml:space="preserve">C. Analytics and Performance Cookies</w:t>
      </w:r>
    </w:p>
    <w:p>
      <w:pPr>
        <w:spacing w:after="120" w:line="300"/>
      </w:pPr>
      <w:r>
        <w:rPr>
          <w:rFonts w:ascii="Calibri" w:cs="Calibri" w:eastAsia="Calibri" w:hAnsi="Calibri"/>
          <w:sz w:val="22"/>
          <w:szCs w:val="22"/>
        </w:rPr>
        <w:t xml:space="preserve">These Cookies help us understand how Users interact with the Platform: which pages are visited, how long Users spend on each page, where Users encounter errors, and which features are most used. We use both first-party analytics (operated by RiseUp on RiseUp's infrastructure) and selected third-party analytics vendors bound by Data Processing Agreements.</w:t>
      </w:r>
    </w:p>
    <w:p>
      <w:pPr>
        <w:spacing w:after="120" w:line="300"/>
      </w:pPr>
      <w:r>
        <w:rPr>
          <w:rFonts w:ascii="Calibri" w:cs="Calibri" w:eastAsia="Calibri" w:hAnsi="Calibri"/>
          <w:sz w:val="22"/>
          <w:szCs w:val="22"/>
        </w:rPr>
        <w:t xml:space="preserve">We aggregate and pseudonymise analytics data wherever technically feasible. Where strictly necessary for the analytics use case (for example, to detect anomalies on a specific account), we may process identifiable data subject to the safeguards in the Privacy Policy.</w:t>
      </w:r>
    </w:p>
    <w:p>
      <w:pPr>
        <w:spacing w:after="120" w:line="300"/>
      </w:pPr>
      <w:r>
        <w:rPr>
          <w:rFonts w:ascii="Calibri" w:cs="Calibri" w:eastAsia="Calibri" w:hAnsi="Calibri"/>
          <w:sz w:val="22"/>
          <w:szCs w:val="22"/>
        </w:rPr>
        <w:t xml:space="preserve">Consent basis:</w:t>
      </w:r>
    </w:p>
    <w:p>
      <w:pPr>
        <w:pStyle w:val="ListParagraph"/>
        <w:numPr>
          <w:ilvl w:val="0"/>
          <w:numId w:val="2"/>
        </w:numPr>
        <w:spacing w:after="80" w:line="280"/>
      </w:pPr>
      <w:r>
        <w:rPr>
          <w:rFonts w:ascii="Calibri" w:cs="Calibri" w:eastAsia="Calibri" w:hAnsi="Calibri"/>
          <w:sz w:val="22"/>
          <w:szCs w:val="22"/>
        </w:rPr>
        <w:t xml:space="preserve">EU/EEA/UK Users: Consent;</w:t>
      </w:r>
    </w:p>
    <w:p>
      <w:pPr>
        <w:pStyle w:val="ListParagraph"/>
        <w:numPr>
          <w:ilvl w:val="0"/>
          <w:numId w:val="2"/>
        </w:numPr>
        <w:spacing w:after="80" w:line="280"/>
      </w:pPr>
      <w:r>
        <w:rPr>
          <w:rFonts w:ascii="Calibri" w:cs="Calibri" w:eastAsia="Calibri" w:hAnsi="Calibri"/>
          <w:sz w:val="22"/>
          <w:szCs w:val="22"/>
        </w:rPr>
        <w:t xml:space="preserve">Indian Users: Consent (DPDP Act);</w:t>
      </w:r>
    </w:p>
    <w:p>
      <w:pPr>
        <w:pStyle w:val="ListParagraph"/>
        <w:numPr>
          <w:ilvl w:val="0"/>
          <w:numId w:val="2"/>
        </w:numPr>
        <w:spacing w:after="80" w:line="280"/>
      </w:pPr>
      <w:r>
        <w:rPr>
          <w:rFonts w:ascii="Calibri" w:cs="Calibri" w:eastAsia="Calibri" w:hAnsi="Calibri"/>
          <w:sz w:val="22"/>
          <w:szCs w:val="22"/>
        </w:rPr>
        <w:t xml:space="preserve">Other jurisdictions: Consent or opt-out as required.</w:t>
      </w:r>
    </w:p>
    <w:p>
      <w:pPr>
        <w:pStyle w:val="Heading2"/>
        <w:spacing w:after="120" w:before="240" w:line="300"/>
      </w:pPr>
      <w:r>
        <w:rPr>
          <w:rFonts w:ascii="Calibri" w:cs="Calibri" w:eastAsia="Calibri" w:hAnsi="Calibri"/>
          <w:b/>
          <w:bCs/>
          <w:color w:val="2E5496"/>
          <w:sz w:val="26"/>
          <w:szCs w:val="26"/>
        </w:rPr>
        <w:t xml:space="preserve">D. Advertising and Marketing Cookies</w:t>
      </w:r>
    </w:p>
    <w:p>
      <w:pPr>
        <w:spacing w:after="120" w:line="300"/>
      </w:pPr>
      <w:r>
        <w:rPr>
          <w:rFonts w:ascii="Calibri" w:cs="Calibri" w:eastAsia="Calibri" w:hAnsi="Calibri"/>
          <w:sz w:val="22"/>
          <w:szCs w:val="22"/>
        </w:rPr>
        <w:t xml:space="preserve">These Cookies enable us and our advertising partners to:</w:t>
      </w:r>
    </w:p>
    <w:p>
      <w:pPr>
        <w:pStyle w:val="ListParagraph"/>
        <w:numPr>
          <w:ilvl w:val="0"/>
          <w:numId w:val="2"/>
        </w:numPr>
        <w:spacing w:after="80" w:line="280"/>
      </w:pPr>
      <w:r>
        <w:rPr>
          <w:rFonts w:ascii="Calibri" w:cs="Calibri" w:eastAsia="Calibri" w:hAnsi="Calibri"/>
          <w:sz w:val="22"/>
          <w:szCs w:val="22"/>
        </w:rPr>
        <w:t xml:space="preserve">Deliver advertising relevant to your interests;</w:t>
      </w:r>
    </w:p>
    <w:p>
      <w:pPr>
        <w:pStyle w:val="ListParagraph"/>
        <w:numPr>
          <w:ilvl w:val="0"/>
          <w:numId w:val="2"/>
        </w:numPr>
        <w:spacing w:after="80" w:line="280"/>
      </w:pPr>
      <w:r>
        <w:rPr>
          <w:rFonts w:ascii="Calibri" w:cs="Calibri" w:eastAsia="Calibri" w:hAnsi="Calibri"/>
          <w:sz w:val="22"/>
          <w:szCs w:val="22"/>
        </w:rPr>
        <w:t xml:space="preserve">Control the frequency with which you see a given advertisement;</w:t>
      </w:r>
    </w:p>
    <w:p>
      <w:pPr>
        <w:pStyle w:val="ListParagraph"/>
        <w:numPr>
          <w:ilvl w:val="0"/>
          <w:numId w:val="2"/>
        </w:numPr>
        <w:spacing w:after="80" w:line="280"/>
      </w:pPr>
      <w:r>
        <w:rPr>
          <w:rFonts w:ascii="Calibri" w:cs="Calibri" w:eastAsia="Calibri" w:hAnsi="Calibri"/>
          <w:sz w:val="22"/>
          <w:szCs w:val="22"/>
        </w:rPr>
        <w:t xml:space="preserve">Measure the effectiveness of advertising campaigns;</w:t>
      </w:r>
    </w:p>
    <w:p>
      <w:pPr>
        <w:pStyle w:val="ListParagraph"/>
        <w:numPr>
          <w:ilvl w:val="0"/>
          <w:numId w:val="2"/>
        </w:numPr>
        <w:spacing w:after="80" w:line="280"/>
      </w:pPr>
      <w:r>
        <w:rPr>
          <w:rFonts w:ascii="Calibri" w:cs="Calibri" w:eastAsia="Calibri" w:hAnsi="Calibri"/>
          <w:sz w:val="22"/>
          <w:szCs w:val="22"/>
        </w:rPr>
        <w:t xml:space="preserve">Attribute conversions to the correct Affiliate or Creator referral;</w:t>
      </w:r>
    </w:p>
    <w:p>
      <w:pPr>
        <w:pStyle w:val="ListParagraph"/>
        <w:numPr>
          <w:ilvl w:val="0"/>
          <w:numId w:val="2"/>
        </w:numPr>
        <w:spacing w:after="80" w:line="280"/>
      </w:pPr>
      <w:r>
        <w:rPr>
          <w:rFonts w:ascii="Calibri" w:cs="Calibri" w:eastAsia="Calibri" w:hAnsi="Calibri"/>
          <w:sz w:val="22"/>
          <w:szCs w:val="22"/>
        </w:rPr>
        <w:t xml:space="preserve">Limit advertising that is not suitable for your declared age band (in particular, to ensure no behavioural advertising is delivered to Users below the age of 18 — see §8).</w:t>
      </w:r>
    </w:p>
    <w:p>
      <w:pPr>
        <w:spacing w:after="120" w:line="300"/>
      </w:pPr>
      <w:r>
        <w:rPr>
          <w:rFonts w:ascii="Calibri" w:cs="Calibri" w:eastAsia="Calibri" w:hAnsi="Calibri"/>
          <w:sz w:val="22"/>
          <w:szCs w:val="22"/>
        </w:rPr>
        <w:t xml:space="preserve">Consent basis: Consent in all jurisdictions where Cookies are placed; explicit opt-in for sensitive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Absolute Restrictions — Children and Sensitive Categories</w:t>
            </w:r>
          </w:p>
          <w:p>
            <w:pPr>
              <w:spacing w:after="0"/>
            </w:pPr>
            <w:r>
              <w:rPr>
                <w:rFonts w:ascii="Calibri" w:cs="Calibri" w:eastAsia="Calibri" w:hAnsi="Calibri"/>
                <w:sz w:val="22"/>
                <w:szCs w:val="22"/>
              </w:rPr>
              <w:t xml:space="preserve">Advertising and Marketing Cookies are NEVER deployed for Users below the age of 18, regardless of any consent purportedly granted. Targeting on the basis of sensitive personal data categories (caste, religion, sexual orientation, political belief, health, disability, trade-union membership) is prohibited. See §8 and §10.</w:t>
            </w:r>
          </w:p>
        </w:tc>
      </w:tr>
    </w:tbl>
    <w:p>
      <w:pPr>
        <w:pStyle w:val="Heading1"/>
        <w:spacing w:after="180" w:before="360" w:line="300"/>
      </w:pPr>
      <w:r>
        <w:rPr>
          <w:rFonts w:ascii="Calibri" w:cs="Calibri" w:eastAsia="Calibri" w:hAnsi="Calibri"/>
          <w:b/>
          <w:bCs/>
          <w:color w:val="1F3864"/>
          <w:sz w:val="30"/>
          <w:szCs w:val="30"/>
        </w:rPr>
        <w:t xml:space="preserve">4. First-Party and Third-Party Cookies</w:t>
      </w:r>
    </w:p>
    <w:p>
      <w:pPr>
        <w:pStyle w:val="Heading2"/>
        <w:spacing w:after="120" w:before="240" w:line="300"/>
      </w:pPr>
      <w:r>
        <w:rPr>
          <w:rFonts w:ascii="Calibri" w:cs="Calibri" w:eastAsia="Calibri" w:hAnsi="Calibri"/>
          <w:b/>
          <w:bCs/>
          <w:color w:val="2E5496"/>
          <w:sz w:val="26"/>
          <w:szCs w:val="26"/>
        </w:rPr>
        <w:t xml:space="preserve">A. First-Party Cookies</w:t>
      </w:r>
    </w:p>
    <w:p>
      <w:pPr>
        <w:spacing w:after="120" w:line="300"/>
      </w:pPr>
      <w:r>
        <w:rPr>
          <w:rFonts w:ascii="Calibri" w:cs="Calibri" w:eastAsia="Calibri" w:hAnsi="Calibri"/>
          <w:sz w:val="22"/>
          <w:szCs w:val="22"/>
        </w:rPr>
        <w:t xml:space="preserve">These are set directly by RiseUp under the domain riseupcreators.com and its subdomains. We control them end-to-end.</w:t>
      </w:r>
    </w:p>
    <w:p>
      <w:pPr>
        <w:pStyle w:val="Heading2"/>
        <w:spacing w:after="120" w:before="240" w:line="300"/>
      </w:pPr>
      <w:r>
        <w:rPr>
          <w:rFonts w:ascii="Calibri" w:cs="Calibri" w:eastAsia="Calibri" w:hAnsi="Calibri"/>
          <w:b/>
          <w:bCs/>
          <w:color w:val="2E5496"/>
          <w:sz w:val="26"/>
          <w:szCs w:val="26"/>
        </w:rPr>
        <w:t xml:space="preserve">B. Third-Party Cookies</w:t>
      </w:r>
    </w:p>
    <w:p>
      <w:pPr>
        <w:spacing w:after="120" w:line="300"/>
      </w:pPr>
      <w:r>
        <w:rPr>
          <w:rFonts w:ascii="Calibri" w:cs="Calibri" w:eastAsia="Calibri" w:hAnsi="Calibri"/>
          <w:sz w:val="22"/>
          <w:szCs w:val="22"/>
        </w:rPr>
        <w:t xml:space="preserve">These are set by service providers, advertising partners, analytics vendors, embedded content providers (such as video or audio embeds), and rights-society reporting partners (PPL India, IPRS), each acting as an independent Controller or Joint Controller / Processor as the case may be. Use of third-party Cookies is disclosed at vendor level in Schedule A.</w:t>
      </w:r>
    </w:p>
    <w:p>
      <w:pPr>
        <w:spacing w:after="120" w:line="300"/>
      </w:pPr>
      <w:r>
        <w:rPr>
          <w:rFonts w:ascii="Calibri" w:cs="Calibri" w:eastAsia="Calibri" w:hAnsi="Calibri"/>
          <w:sz w:val="22"/>
          <w:szCs w:val="22"/>
        </w:rPr>
        <w:t xml:space="preserve">When you choose to embed third-party content on the Platform (for example, an external video player), the third-party provider may set its own Cookies on your device. Such third-party Cookies are governed by that provider's own policy in addition to ours.</w:t>
      </w:r>
    </w:p>
    <w:p>
      <w:pPr>
        <w:pStyle w:val="Heading1"/>
        <w:spacing w:after="180" w:before="360" w:line="300"/>
      </w:pPr>
      <w:r>
        <w:rPr>
          <w:rFonts w:ascii="Calibri" w:cs="Calibri" w:eastAsia="Calibri" w:hAnsi="Calibri"/>
          <w:b/>
          <w:bCs/>
          <w:color w:val="1F3864"/>
          <w:sz w:val="30"/>
          <w:szCs w:val="30"/>
        </w:rPr>
        <w:t xml:space="preserve">5. Other Tracking Technologies</w:t>
      </w:r>
    </w:p>
    <w:p>
      <w:pPr>
        <w:pStyle w:val="Heading2"/>
        <w:spacing w:after="120" w:before="240" w:line="300"/>
      </w:pPr>
      <w:r>
        <w:rPr>
          <w:rFonts w:ascii="Calibri" w:cs="Calibri" w:eastAsia="Calibri" w:hAnsi="Calibri"/>
          <w:b/>
          <w:bCs/>
          <w:color w:val="2E5496"/>
          <w:sz w:val="26"/>
          <w:szCs w:val="26"/>
        </w:rPr>
        <w:t xml:space="preserve">A. SDKs in Mobile Applications</w:t>
      </w:r>
    </w:p>
    <w:p>
      <w:pPr>
        <w:spacing w:after="120" w:line="300"/>
      </w:pPr>
      <w:r>
        <w:rPr>
          <w:rFonts w:ascii="Calibri" w:cs="Calibri" w:eastAsia="Calibri" w:hAnsi="Calibri"/>
          <w:sz w:val="22"/>
          <w:szCs w:val="22"/>
        </w:rPr>
        <w:t xml:space="preserve">The RiseUp Creators iOS and Android applications include SDKs for crash reporting, push notification routing, payment processing, identity verification, analytics (where consented), advertising (where consented), and security. SDKs operate on the device and may access:</w:t>
      </w:r>
    </w:p>
    <w:p>
      <w:pPr>
        <w:pStyle w:val="ListParagraph"/>
        <w:numPr>
          <w:ilvl w:val="0"/>
          <w:numId w:val="2"/>
        </w:numPr>
        <w:spacing w:after="80" w:line="280"/>
      </w:pPr>
      <w:r>
        <w:rPr>
          <w:rFonts w:ascii="Calibri" w:cs="Calibri" w:eastAsia="Calibri" w:hAnsi="Calibri"/>
          <w:sz w:val="22"/>
          <w:szCs w:val="22"/>
        </w:rPr>
        <w:t xml:space="preserve">Device identifiers (IDFA, GAID, OAID) subject to platform-level permissions;</w:t>
      </w:r>
    </w:p>
    <w:p>
      <w:pPr>
        <w:pStyle w:val="ListParagraph"/>
        <w:numPr>
          <w:ilvl w:val="0"/>
          <w:numId w:val="2"/>
        </w:numPr>
        <w:spacing w:after="80" w:line="280"/>
      </w:pPr>
      <w:r>
        <w:rPr>
          <w:rFonts w:ascii="Calibri" w:cs="Calibri" w:eastAsia="Calibri" w:hAnsi="Calibri"/>
          <w:sz w:val="22"/>
          <w:szCs w:val="22"/>
        </w:rPr>
        <w:t xml:space="preserve">Operating system version and device model;</w:t>
      </w:r>
    </w:p>
    <w:p>
      <w:pPr>
        <w:pStyle w:val="ListParagraph"/>
        <w:numPr>
          <w:ilvl w:val="0"/>
          <w:numId w:val="2"/>
        </w:numPr>
        <w:spacing w:after="80" w:line="280"/>
      </w:pPr>
      <w:r>
        <w:rPr>
          <w:rFonts w:ascii="Calibri" w:cs="Calibri" w:eastAsia="Calibri" w:hAnsi="Calibri"/>
          <w:sz w:val="22"/>
          <w:szCs w:val="22"/>
        </w:rPr>
        <w:t xml:space="preserve">App version and crash diagnostics;</w:t>
      </w:r>
    </w:p>
    <w:p>
      <w:pPr>
        <w:pStyle w:val="ListParagraph"/>
        <w:numPr>
          <w:ilvl w:val="0"/>
          <w:numId w:val="2"/>
        </w:numPr>
        <w:spacing w:after="80" w:line="280"/>
      </w:pPr>
      <w:r>
        <w:rPr>
          <w:rFonts w:ascii="Calibri" w:cs="Calibri" w:eastAsia="Calibri" w:hAnsi="Calibri"/>
          <w:sz w:val="22"/>
          <w:szCs w:val="22"/>
        </w:rPr>
        <w:t xml:space="preserve">IP address;</w:t>
      </w:r>
    </w:p>
    <w:p>
      <w:pPr>
        <w:pStyle w:val="ListParagraph"/>
        <w:numPr>
          <w:ilvl w:val="0"/>
          <w:numId w:val="2"/>
        </w:numPr>
        <w:spacing w:after="80" w:line="280"/>
      </w:pPr>
      <w:r>
        <w:rPr>
          <w:rFonts w:ascii="Calibri" w:cs="Calibri" w:eastAsia="Calibri" w:hAnsi="Calibri"/>
          <w:sz w:val="22"/>
          <w:szCs w:val="22"/>
        </w:rPr>
        <w:t xml:space="preserve">App usage events (where consented).</w:t>
      </w:r>
    </w:p>
    <w:p>
      <w:pPr>
        <w:spacing w:after="120" w:line="300"/>
      </w:pPr>
      <w:r>
        <w:rPr>
          <w:rFonts w:ascii="Calibri" w:cs="Calibri" w:eastAsia="Calibri" w:hAnsi="Calibri"/>
          <w:sz w:val="22"/>
          <w:szCs w:val="22"/>
        </w:rPr>
        <w:t xml:space="preserve">You may control SDK behaviour through the Cookie Preferences interface in the application, and through device-level permissions provided by iOS and Android (including App Tracking Transparency on iOS).</w:t>
      </w:r>
    </w:p>
    <w:p>
      <w:pPr>
        <w:pStyle w:val="Heading2"/>
        <w:spacing w:after="120" w:before="240" w:line="300"/>
      </w:pPr>
      <w:r>
        <w:rPr>
          <w:rFonts w:ascii="Calibri" w:cs="Calibri" w:eastAsia="Calibri" w:hAnsi="Calibri"/>
          <w:b/>
          <w:bCs/>
          <w:color w:val="2E5496"/>
          <w:sz w:val="26"/>
          <w:szCs w:val="26"/>
        </w:rPr>
        <w:t xml:space="preserve">B. Pixels and Web Beacons</w:t>
      </w:r>
    </w:p>
    <w:p>
      <w:pPr>
        <w:spacing w:after="120" w:line="300"/>
      </w:pPr>
      <w:r>
        <w:rPr>
          <w:rFonts w:ascii="Calibri" w:cs="Calibri" w:eastAsia="Calibri" w:hAnsi="Calibri"/>
          <w:sz w:val="22"/>
          <w:szCs w:val="22"/>
        </w:rPr>
        <w:t xml:space="preserve">We use Pixels and Web Beacons in:</w:t>
      </w:r>
    </w:p>
    <w:p>
      <w:pPr>
        <w:pStyle w:val="ListParagraph"/>
        <w:numPr>
          <w:ilvl w:val="0"/>
          <w:numId w:val="2"/>
        </w:numPr>
        <w:spacing w:after="80" w:line="280"/>
      </w:pPr>
      <w:r>
        <w:rPr>
          <w:rFonts w:ascii="Calibri" w:cs="Calibri" w:eastAsia="Calibri" w:hAnsi="Calibri"/>
          <w:sz w:val="22"/>
          <w:szCs w:val="22"/>
        </w:rPr>
        <w:t xml:space="preserve">Marketing emails (only where you have consented to marketing communications) to measure open rates and click-through rates;</w:t>
      </w:r>
    </w:p>
    <w:p>
      <w:pPr>
        <w:pStyle w:val="ListParagraph"/>
        <w:numPr>
          <w:ilvl w:val="0"/>
          <w:numId w:val="2"/>
        </w:numPr>
        <w:spacing w:after="80" w:line="280"/>
      </w:pPr>
      <w:r>
        <w:rPr>
          <w:rFonts w:ascii="Calibri" w:cs="Calibri" w:eastAsia="Calibri" w:hAnsi="Calibri"/>
          <w:sz w:val="22"/>
          <w:szCs w:val="22"/>
        </w:rPr>
        <w:t xml:space="preserve">Transactional emails (for delivery confirmation and security alerts) under legitimate use;</w:t>
      </w:r>
    </w:p>
    <w:p>
      <w:pPr>
        <w:pStyle w:val="ListParagraph"/>
        <w:numPr>
          <w:ilvl w:val="0"/>
          <w:numId w:val="2"/>
        </w:numPr>
        <w:spacing w:after="80" w:line="280"/>
      </w:pPr>
      <w:r>
        <w:rPr>
          <w:rFonts w:ascii="Calibri" w:cs="Calibri" w:eastAsia="Calibri" w:hAnsi="Calibri"/>
          <w:sz w:val="22"/>
          <w:szCs w:val="22"/>
        </w:rPr>
        <w:t xml:space="preserve">Limited on-Platform measurement for conversion attribution where consented.</w:t>
      </w:r>
    </w:p>
    <w:p>
      <w:pPr>
        <w:spacing w:after="120" w:line="300"/>
      </w:pPr>
      <w:r>
        <w:rPr>
          <w:rFonts w:ascii="Calibri" w:cs="Calibri" w:eastAsia="Calibri" w:hAnsi="Calibri"/>
          <w:sz w:val="22"/>
          <w:szCs w:val="22"/>
        </w:rPr>
        <w:t xml:space="preserve">You can suppress remote image loading in your email client to prevent Pixel firing.</w:t>
      </w:r>
    </w:p>
    <w:p>
      <w:pPr>
        <w:pStyle w:val="Heading2"/>
        <w:spacing w:after="120" w:before="240" w:line="300"/>
      </w:pPr>
      <w:r>
        <w:rPr>
          <w:rFonts w:ascii="Calibri" w:cs="Calibri" w:eastAsia="Calibri" w:hAnsi="Calibri"/>
          <w:b/>
          <w:bCs/>
          <w:color w:val="2E5496"/>
          <w:sz w:val="26"/>
          <w:szCs w:val="26"/>
        </w:rPr>
        <w:t xml:space="preserve">C. Local Storage and Session Storage</w:t>
      </w:r>
    </w:p>
    <w:p>
      <w:pPr>
        <w:spacing w:after="120" w:line="300"/>
      </w:pPr>
      <w:r>
        <w:rPr>
          <w:rFonts w:ascii="Calibri" w:cs="Calibri" w:eastAsia="Calibri" w:hAnsi="Calibri"/>
          <w:sz w:val="22"/>
          <w:szCs w:val="22"/>
        </w:rPr>
        <w:t xml:space="preserve">We use HTML5 Local Storage and Session Storage to cache preferences, drafts, viewing progress, and other state. These are functionally equivalent to Cookies for consent purposes and are governed by the same category-based Consent regime under this Policy.</w:t>
      </w:r>
    </w:p>
    <w:p>
      <w:pPr>
        <w:pStyle w:val="Heading2"/>
        <w:spacing w:after="120" w:before="240" w:line="300"/>
      </w:pPr>
      <w:r>
        <w:rPr>
          <w:rFonts w:ascii="Calibri" w:cs="Calibri" w:eastAsia="Calibri" w:hAnsi="Calibri"/>
          <w:b/>
          <w:bCs/>
          <w:color w:val="2E5496"/>
          <w:sz w:val="26"/>
          <w:szCs w:val="26"/>
        </w:rPr>
        <w:t xml:space="preserve">D. Limited Device Signals for Fraud and Security</w:t>
      </w:r>
    </w:p>
    <w:p>
      <w:pPr>
        <w:spacing w:after="120" w:line="300"/>
      </w:pPr>
      <w:r>
        <w:rPr>
          <w:rFonts w:ascii="Calibri" w:cs="Calibri" w:eastAsia="Calibri" w:hAnsi="Calibri"/>
          <w:sz w:val="22"/>
          <w:szCs w:val="22"/>
        </w:rPr>
        <w:t xml:space="preserve">For the legitimate use of fraud prevention, account-takeover detection, payment-fraud screening, AML/KYC verification, and platform integrity, we may collect a limited set of device signals (such as device type, screen resolution category, time zone, language, IP address, and a hashed device identifier) without Consent, in reliance on:</w:t>
      </w:r>
    </w:p>
    <w:p>
      <w:pPr>
        <w:pStyle w:val="ListParagraph"/>
        <w:numPr>
          <w:ilvl w:val="0"/>
          <w:numId w:val="2"/>
        </w:numPr>
        <w:spacing w:after="80" w:line="280"/>
      </w:pPr>
      <w:r>
        <w:rPr>
          <w:rFonts w:ascii="Calibri" w:cs="Calibri" w:eastAsia="Calibri" w:hAnsi="Calibri"/>
          <w:sz w:val="22"/>
          <w:szCs w:val="22"/>
        </w:rPr>
        <w:t xml:space="preserve">§7(g) of the DPDP Act (legitimate use of safety, security, and prevention of fraud or unauthorised access to personal data);</w:t>
      </w:r>
    </w:p>
    <w:p>
      <w:pPr>
        <w:pStyle w:val="ListParagraph"/>
        <w:numPr>
          <w:ilvl w:val="0"/>
          <w:numId w:val="2"/>
        </w:numPr>
        <w:spacing w:after="80" w:line="280"/>
      </w:pPr>
      <w:r>
        <w:rPr>
          <w:rFonts w:ascii="Calibri" w:cs="Calibri" w:eastAsia="Calibri" w:hAnsi="Calibri"/>
          <w:sz w:val="22"/>
          <w:szCs w:val="22"/>
        </w:rPr>
        <w:t xml:space="preserve">Article 6(1)(f) GDPR (legitimate interests in security and fraud prevention) for EU/EEA/UK Users, with the balancing test documented in our internal Legitimate Interests Assessment.</w:t>
      </w:r>
    </w:p>
    <w:p>
      <w:pPr>
        <w:spacing w:after="120" w:line="300"/>
      </w:pPr>
      <w:r>
        <w:rPr>
          <w:rFonts w:ascii="Calibri" w:cs="Calibri" w:eastAsia="Calibri" w:hAnsi="Calibri"/>
          <w:sz w:val="22"/>
          <w:szCs w:val="22"/>
        </w:rPr>
        <w:t xml:space="preserve">These signals are not used for advertising, profiling, or behavioural analytics. Their retention is limited per §11 of the Privacy Policy.</w:t>
      </w:r>
    </w:p>
    <w:p>
      <w:pPr>
        <w:pStyle w:val="Heading1"/>
        <w:spacing w:after="180" w:before="360" w:line="300"/>
      </w:pPr>
      <w:r>
        <w:rPr>
          <w:rFonts w:ascii="Calibri" w:cs="Calibri" w:eastAsia="Calibri" w:hAnsi="Calibri"/>
          <w:b/>
          <w:bCs/>
          <w:color w:val="1F3864"/>
          <w:sz w:val="30"/>
          <w:szCs w:val="30"/>
        </w:rPr>
        <w:t xml:space="preserve">6. Lawful Basis for Each Category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3060"/>
        <w:gridCol w:w="1900"/>
      </w:tblGrid>
      <w:tr>
        <w:trPr>
          <w:tblHeader/>
        </w:trPr>
        <w:tc>
          <w:tcPr>
            <w:tcW w:type="dxa" w:w="2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Category</w:t>
            </w:r>
          </w:p>
        </w:tc>
        <w:tc>
          <w:tcPr>
            <w:tcW w:type="dxa" w:w="2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Indian Lawful Basis (DPDP Act)</w:t>
            </w:r>
          </w:p>
        </w:tc>
        <w:tc>
          <w:tcPr>
            <w:tcW w:type="dxa" w:w="30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EU/EEA/UK Lawful Basis (GDPR + ePrivacy)</w:t>
            </w:r>
          </w:p>
        </w:tc>
        <w:tc>
          <w:tcPr>
            <w:tcW w:type="dxa" w:w="19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Consent Required?</w:t>
            </w:r>
          </w:p>
        </w:tc>
      </w:tr>
      <w:tr>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Strictly Necessary</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§7(b) — legitimate use (service requested)</w:t>
            </w:r>
          </w:p>
        </w:tc>
        <w:tc>
          <w:tcPr>
            <w:tcW w:type="dxa" w:w="30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5(3) ePrivacy — strictly necessary; Art 6(1)(b) GDPR — contract</w:t>
            </w:r>
          </w:p>
        </w:tc>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w:t>
            </w:r>
          </w:p>
        </w:tc>
      </w:tr>
      <w:tr>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Functional</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 — Consent</w:t>
            </w:r>
          </w:p>
        </w:tc>
        <w:tc>
          <w:tcPr>
            <w:tcW w:type="dxa" w:w="30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6(1)(a) GDPR; Art 5(3) ePrivacy — Consent</w:t>
            </w:r>
          </w:p>
        </w:tc>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Yes</w:t>
            </w:r>
          </w:p>
        </w:tc>
      </w:tr>
      <w:tr>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Analytics</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 — Consent</w:t>
            </w:r>
          </w:p>
        </w:tc>
        <w:tc>
          <w:tcPr>
            <w:tcW w:type="dxa" w:w="30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6(1)(a) GDPR; Art 5(3) ePrivacy — Consent</w:t>
            </w:r>
          </w:p>
        </w:tc>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Yes</w:t>
            </w:r>
          </w:p>
        </w:tc>
      </w:tr>
      <w:tr>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 / Marketing</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 — Consent</w:t>
            </w:r>
          </w:p>
        </w:tc>
        <w:tc>
          <w:tcPr>
            <w:tcW w:type="dxa" w:w="30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6(1)(a) GDPR; Art 5(3) ePrivacy — Consent</w:t>
            </w:r>
          </w:p>
        </w:tc>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Yes — explicit opt-in</w:t>
            </w:r>
          </w:p>
        </w:tc>
      </w:tr>
      <w:tr>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Fraud / Security signals (limited)</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§7(g) — legitimate use (security)</w:t>
            </w:r>
          </w:p>
        </w:tc>
        <w:tc>
          <w:tcPr>
            <w:tcW w:type="dxa" w:w="30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6(1)(f) GDPR — legitimate interests</w:t>
            </w:r>
          </w:p>
        </w:tc>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 (signals only)</w:t>
            </w:r>
          </w:p>
        </w:tc>
      </w:tr>
    </w:tbl>
    <w:p>
      <w:pPr>
        <w:spacing w:after="120" w:line="300"/>
      </w:pPr>
      <w:r>
        <w:rPr>
          <w:rFonts w:ascii="Calibri" w:cs="Calibri" w:eastAsia="Calibri" w:hAnsi="Calibri"/>
          <w:sz w:val="22"/>
          <w:szCs w:val="22"/>
        </w:rPr>
        <w:t xml:space="preserve">Where any category is shown as “Consent” required, Consent must be free, informed, specific, unconditional, unambiguous, and given through clear affirmative action. Implicit consent, pre-ticked boxes, continued browsing as Consent, and Consent buried in Terms of Service are NOT valid forms of Consent and are not used on the Platform.</w:t>
      </w:r>
    </w:p>
    <w:p>
      <w:pPr>
        <w:pStyle w:val="Heading1"/>
        <w:spacing w:after="180" w:before="360" w:line="300"/>
      </w:pPr>
      <w:r>
        <w:rPr>
          <w:rFonts w:ascii="Calibri" w:cs="Calibri" w:eastAsia="Calibri" w:hAnsi="Calibri"/>
          <w:b/>
          <w:bCs/>
          <w:color w:val="1F3864"/>
          <w:sz w:val="30"/>
          <w:szCs w:val="30"/>
        </w:rPr>
        <w:t xml:space="preserve">7. Consent Mechanism — Cookie Banner and Preferences Centre</w:t>
      </w:r>
    </w:p>
    <w:p>
      <w:pPr>
        <w:pStyle w:val="Heading2"/>
        <w:spacing w:after="120" w:before="240" w:line="300"/>
      </w:pPr>
      <w:r>
        <w:rPr>
          <w:rFonts w:ascii="Calibri" w:cs="Calibri" w:eastAsia="Calibri" w:hAnsi="Calibri"/>
          <w:b/>
          <w:bCs/>
          <w:color w:val="2E5496"/>
          <w:sz w:val="26"/>
          <w:szCs w:val="26"/>
        </w:rPr>
        <w:t xml:space="preserve">A. First-Visit Cookie Banner</w:t>
      </w:r>
    </w:p>
    <w:p>
      <w:pPr>
        <w:spacing w:after="120" w:line="300"/>
      </w:pPr>
      <w:r>
        <w:rPr>
          <w:rFonts w:ascii="Calibri" w:cs="Calibri" w:eastAsia="Calibri" w:hAnsi="Calibri"/>
          <w:sz w:val="22"/>
          <w:szCs w:val="22"/>
        </w:rPr>
        <w:t xml:space="preserve">On your first visit to the Platform from a given device and browser, and at any subsequent visit where your prior Consent has expired or been cleared, a Cookie Banner is displayed before any non-Strictly-Necessary Cookies are set.</w:t>
      </w:r>
    </w:p>
    <w:p>
      <w:pPr>
        <w:spacing w:after="120" w:line="300"/>
      </w:pPr>
      <w:r>
        <w:rPr>
          <w:rFonts w:ascii="Calibri" w:cs="Calibri" w:eastAsia="Calibri" w:hAnsi="Calibri"/>
          <w:sz w:val="22"/>
          <w:szCs w:val="22"/>
        </w:rPr>
        <w:t xml:space="preserve">The Cookie Banner presents three options of equal visual prominence (matching size, font, contrast, and placement), in compliance with the European Data Protection Board Guidelines 03/2022 on Deceptive Design Patterns, the CNIL Cookie Guidelines, and the Central Consumer Protection Authority's Guidelines for Prevention and Regulation of Dark Patterns, 2023:</w:t>
      </w:r>
    </w:p>
    <w:p>
      <w:pPr>
        <w:pStyle w:val="ListParagraph"/>
        <w:numPr>
          <w:ilvl w:val="0"/>
          <w:numId w:val="2"/>
        </w:numPr>
        <w:spacing w:after="80" w:line="280"/>
      </w:pPr>
      <w:r>
        <w:rPr>
          <w:rFonts w:ascii="Calibri" w:cs="Calibri" w:eastAsia="Calibri" w:hAnsi="Calibri"/>
          <w:b/>
          <w:bCs/>
          <w:sz w:val="22"/>
          <w:szCs w:val="22"/>
        </w:rPr>
        <w:t xml:space="preserve">Accept All</w:t>
      </w:r>
      <w:r>
        <w:rPr>
          <w:rFonts w:ascii="Calibri" w:cs="Calibri" w:eastAsia="Calibri" w:hAnsi="Calibri"/>
          <w:sz w:val="22"/>
          <w:szCs w:val="22"/>
        </w:rPr>
        <w:t xml:space="preserve"> — Consent to all categories;</w:t>
      </w:r>
    </w:p>
    <w:p>
      <w:pPr>
        <w:pStyle w:val="ListParagraph"/>
        <w:numPr>
          <w:ilvl w:val="0"/>
          <w:numId w:val="2"/>
        </w:numPr>
        <w:spacing w:after="80" w:line="280"/>
      </w:pPr>
      <w:r>
        <w:rPr>
          <w:rFonts w:ascii="Calibri" w:cs="Calibri" w:eastAsia="Calibri" w:hAnsi="Calibri"/>
          <w:b/>
          <w:bCs/>
          <w:sz w:val="22"/>
          <w:szCs w:val="22"/>
        </w:rPr>
        <w:t xml:space="preserve">Reject All</w:t>
      </w:r>
      <w:r>
        <w:rPr>
          <w:rFonts w:ascii="Calibri" w:cs="Calibri" w:eastAsia="Calibri" w:hAnsi="Calibri"/>
          <w:sz w:val="22"/>
          <w:szCs w:val="22"/>
        </w:rPr>
        <w:t xml:space="preserve"> — Consent only to Strictly Necessary; no other Cookies are set;</w:t>
      </w:r>
    </w:p>
    <w:p>
      <w:pPr>
        <w:pStyle w:val="ListParagraph"/>
        <w:numPr>
          <w:ilvl w:val="0"/>
          <w:numId w:val="2"/>
        </w:numPr>
        <w:spacing w:after="80" w:line="280"/>
      </w:pPr>
      <w:r>
        <w:rPr>
          <w:rFonts w:ascii="Calibri" w:cs="Calibri" w:eastAsia="Calibri" w:hAnsi="Calibri"/>
          <w:b/>
          <w:bCs/>
          <w:sz w:val="22"/>
          <w:szCs w:val="22"/>
        </w:rPr>
        <w:t xml:space="preserve">Manage Preferences</w:t>
      </w:r>
      <w:r>
        <w:rPr>
          <w:rFonts w:ascii="Calibri" w:cs="Calibri" w:eastAsia="Calibri" w:hAnsi="Calibri"/>
          <w:sz w:val="22"/>
          <w:szCs w:val="22"/>
        </w:rPr>
        <w:t xml:space="preserve"> — open the granular Preferences Centre to choose category by category.</w:t>
      </w:r>
    </w:p>
    <w:p>
      <w:pPr>
        <w:spacing w:after="120" w:line="300"/>
      </w:pPr>
      <w:r>
        <w:rPr>
          <w:rFonts w:ascii="Calibri" w:cs="Calibri" w:eastAsia="Calibri" w:hAnsi="Calibri"/>
          <w:sz w:val="22"/>
          <w:szCs w:val="22"/>
        </w:rPr>
        <w:t xml:space="preserve">The Cookie Banner does not:</w:t>
      </w:r>
    </w:p>
    <w:p>
      <w:pPr>
        <w:pStyle w:val="ListParagraph"/>
        <w:numPr>
          <w:ilvl w:val="0"/>
          <w:numId w:val="2"/>
        </w:numPr>
        <w:spacing w:after="80" w:line="280"/>
      </w:pPr>
      <w:r>
        <w:rPr>
          <w:rFonts w:ascii="Calibri" w:cs="Calibri" w:eastAsia="Calibri" w:hAnsi="Calibri"/>
          <w:sz w:val="22"/>
          <w:szCs w:val="22"/>
        </w:rPr>
        <w:t xml:space="preserve">Use pre-ticked boxes for any non-Strictly-Necessary category;</w:t>
      </w:r>
    </w:p>
    <w:p>
      <w:pPr>
        <w:pStyle w:val="ListParagraph"/>
        <w:numPr>
          <w:ilvl w:val="0"/>
          <w:numId w:val="2"/>
        </w:numPr>
        <w:spacing w:after="80" w:line="280"/>
      </w:pPr>
      <w:r>
        <w:rPr>
          <w:rFonts w:ascii="Calibri" w:cs="Calibri" w:eastAsia="Calibri" w:hAnsi="Calibri"/>
          <w:sz w:val="22"/>
          <w:szCs w:val="22"/>
        </w:rPr>
        <w:t xml:space="preserve">Treat continued browsing, scrolling, or closing the banner as Consent;</w:t>
      </w:r>
    </w:p>
    <w:p>
      <w:pPr>
        <w:pStyle w:val="ListParagraph"/>
        <w:numPr>
          <w:ilvl w:val="0"/>
          <w:numId w:val="2"/>
        </w:numPr>
        <w:spacing w:after="80" w:line="280"/>
      </w:pPr>
      <w:r>
        <w:rPr>
          <w:rFonts w:ascii="Calibri" w:cs="Calibri" w:eastAsia="Calibri" w:hAnsi="Calibri"/>
          <w:sz w:val="22"/>
          <w:szCs w:val="22"/>
        </w:rPr>
        <w:t xml:space="preserve">Hide the Reject option behind additional clicks;</w:t>
      </w:r>
    </w:p>
    <w:p>
      <w:pPr>
        <w:pStyle w:val="ListParagraph"/>
        <w:numPr>
          <w:ilvl w:val="0"/>
          <w:numId w:val="2"/>
        </w:numPr>
        <w:spacing w:after="80" w:line="280"/>
      </w:pPr>
      <w:r>
        <w:rPr>
          <w:rFonts w:ascii="Calibri" w:cs="Calibri" w:eastAsia="Calibri" w:hAnsi="Calibri"/>
          <w:sz w:val="22"/>
          <w:szCs w:val="22"/>
        </w:rPr>
        <w:t xml:space="preserve">Use confirm-shaming language (“Are you sure? You will lose personalisation”);</w:t>
      </w:r>
    </w:p>
    <w:p>
      <w:pPr>
        <w:pStyle w:val="ListParagraph"/>
        <w:numPr>
          <w:ilvl w:val="0"/>
          <w:numId w:val="2"/>
        </w:numPr>
        <w:spacing w:after="80" w:line="280"/>
      </w:pPr>
      <w:r>
        <w:rPr>
          <w:rFonts w:ascii="Calibri" w:cs="Calibri" w:eastAsia="Calibri" w:hAnsi="Calibri"/>
          <w:sz w:val="22"/>
          <w:szCs w:val="22"/>
        </w:rPr>
        <w:t xml:space="preserve">Use false urgency or countdowns to pressure a decision;</w:t>
      </w:r>
    </w:p>
    <w:p>
      <w:pPr>
        <w:pStyle w:val="ListParagraph"/>
        <w:numPr>
          <w:ilvl w:val="0"/>
          <w:numId w:val="2"/>
        </w:numPr>
        <w:spacing w:after="80" w:line="280"/>
      </w:pPr>
      <w:r>
        <w:rPr>
          <w:rFonts w:ascii="Calibri" w:cs="Calibri" w:eastAsia="Calibri" w:hAnsi="Calibri"/>
          <w:sz w:val="22"/>
          <w:szCs w:val="22"/>
        </w:rPr>
        <w:t xml:space="preserve">Bundle Cookie Consent with acceptance of the Terms of Service or Privacy Policy.</w:t>
      </w:r>
    </w:p>
    <w:p>
      <w:pPr>
        <w:pStyle w:val="Heading2"/>
        <w:spacing w:after="120" w:before="240" w:line="300"/>
      </w:pPr>
      <w:r>
        <w:rPr>
          <w:rFonts w:ascii="Calibri" w:cs="Calibri" w:eastAsia="Calibri" w:hAnsi="Calibri"/>
          <w:b/>
          <w:bCs/>
          <w:color w:val="2E5496"/>
          <w:sz w:val="26"/>
          <w:szCs w:val="26"/>
        </w:rPr>
        <w:t xml:space="preserve">B. Cookie Preferences Centre</w:t>
      </w:r>
    </w:p>
    <w:p>
      <w:pPr>
        <w:spacing w:after="120" w:line="300"/>
      </w:pPr>
      <w:r>
        <w:rPr>
          <w:rFonts w:ascii="Calibri" w:cs="Calibri" w:eastAsia="Calibri" w:hAnsi="Calibri"/>
          <w:sz w:val="22"/>
          <w:szCs w:val="22"/>
        </w:rPr>
        <w:t xml:space="preserve">The Preferences Centre allows you to grant or refuse Consent for each category independently (Functional, Analytics, Advertising and Marketing), and, where applicable, for each vendor within a category. Your selection is saved through a Strictly Necessary Cookie that records:</w:t>
      </w:r>
    </w:p>
    <w:p>
      <w:pPr>
        <w:pStyle w:val="ListParagraph"/>
        <w:numPr>
          <w:ilvl w:val="0"/>
          <w:numId w:val="2"/>
        </w:numPr>
        <w:spacing w:after="80" w:line="280"/>
      </w:pPr>
      <w:r>
        <w:rPr>
          <w:rFonts w:ascii="Calibri" w:cs="Calibri" w:eastAsia="Calibri" w:hAnsi="Calibri"/>
          <w:sz w:val="22"/>
          <w:szCs w:val="22"/>
        </w:rPr>
        <w:t xml:space="preserve">The category-level decision (granted / refused);</w:t>
      </w:r>
    </w:p>
    <w:p>
      <w:pPr>
        <w:pStyle w:val="ListParagraph"/>
        <w:numPr>
          <w:ilvl w:val="0"/>
          <w:numId w:val="2"/>
        </w:numPr>
        <w:spacing w:after="80" w:line="280"/>
      </w:pPr>
      <w:r>
        <w:rPr>
          <w:rFonts w:ascii="Calibri" w:cs="Calibri" w:eastAsia="Calibri" w:hAnsi="Calibri"/>
          <w:sz w:val="22"/>
          <w:szCs w:val="22"/>
        </w:rPr>
        <w:t xml:space="preserve">The vendor-level decision (where you have used vendor-level controls);</w:t>
      </w:r>
    </w:p>
    <w:p>
      <w:pPr>
        <w:pStyle w:val="ListParagraph"/>
        <w:numPr>
          <w:ilvl w:val="0"/>
          <w:numId w:val="2"/>
        </w:numPr>
        <w:spacing w:after="80" w:line="280"/>
      </w:pPr>
      <w:r>
        <w:rPr>
          <w:rFonts w:ascii="Calibri" w:cs="Calibri" w:eastAsia="Calibri" w:hAnsi="Calibri"/>
          <w:sz w:val="22"/>
          <w:szCs w:val="22"/>
        </w:rPr>
        <w:t xml:space="preserve">The timestamp of the decision;</w:t>
      </w:r>
    </w:p>
    <w:p>
      <w:pPr>
        <w:pStyle w:val="ListParagraph"/>
        <w:numPr>
          <w:ilvl w:val="0"/>
          <w:numId w:val="2"/>
        </w:numPr>
        <w:spacing w:after="80" w:line="280"/>
      </w:pPr>
      <w:r>
        <w:rPr>
          <w:rFonts w:ascii="Calibri" w:cs="Calibri" w:eastAsia="Calibri" w:hAnsi="Calibri"/>
          <w:sz w:val="22"/>
          <w:szCs w:val="22"/>
        </w:rPr>
        <w:t xml:space="preserve">The version of this Cookie Policy in force at the time of the decision;</w:t>
      </w:r>
    </w:p>
    <w:p>
      <w:pPr>
        <w:pStyle w:val="ListParagraph"/>
        <w:numPr>
          <w:ilvl w:val="0"/>
          <w:numId w:val="2"/>
        </w:numPr>
        <w:spacing w:after="80" w:line="280"/>
      </w:pPr>
      <w:r>
        <w:rPr>
          <w:rFonts w:ascii="Calibri" w:cs="Calibri" w:eastAsia="Calibri" w:hAnsi="Calibri"/>
          <w:sz w:val="22"/>
          <w:szCs w:val="22"/>
        </w:rPr>
        <w:t xml:space="preserve">A hash of the disclosed vendor list at the time of the decision.</w:t>
      </w:r>
    </w:p>
    <w:p>
      <w:pPr>
        <w:pStyle w:val="Heading2"/>
        <w:spacing w:after="120" w:before="240" w:line="300"/>
      </w:pPr>
      <w:r>
        <w:rPr>
          <w:rFonts w:ascii="Calibri" w:cs="Calibri" w:eastAsia="Calibri" w:hAnsi="Calibri"/>
          <w:b/>
          <w:bCs/>
          <w:color w:val="2E5496"/>
          <w:sz w:val="26"/>
          <w:szCs w:val="26"/>
        </w:rPr>
        <w:t xml:space="preserve">C. Re-Prompt and Consent Refresh</w:t>
      </w:r>
    </w:p>
    <w:p>
      <w:pPr>
        <w:spacing w:after="120" w:line="300"/>
      </w:pPr>
      <w:r>
        <w:rPr>
          <w:rFonts w:ascii="Calibri" w:cs="Calibri" w:eastAsia="Calibri" w:hAnsi="Calibri"/>
          <w:sz w:val="22"/>
          <w:szCs w:val="22"/>
        </w:rPr>
        <w:t xml:space="preserve">Consent is refreshed:</w:t>
      </w:r>
    </w:p>
    <w:p>
      <w:pPr>
        <w:pStyle w:val="ListParagraph"/>
        <w:numPr>
          <w:ilvl w:val="0"/>
          <w:numId w:val="2"/>
        </w:numPr>
        <w:spacing w:after="80" w:line="280"/>
      </w:pPr>
      <w:r>
        <w:rPr>
          <w:rFonts w:ascii="Calibri" w:cs="Calibri" w:eastAsia="Calibri" w:hAnsi="Calibri"/>
          <w:sz w:val="22"/>
          <w:szCs w:val="22"/>
        </w:rPr>
        <w:t xml:space="preserve">On material change to the Cookie categories or to the vendors disclosed in Schedule A — through a new banner;</w:t>
      </w:r>
    </w:p>
    <w:p>
      <w:pPr>
        <w:pStyle w:val="ListParagraph"/>
        <w:numPr>
          <w:ilvl w:val="0"/>
          <w:numId w:val="2"/>
        </w:numPr>
        <w:spacing w:after="80" w:line="280"/>
      </w:pPr>
      <w:r>
        <w:rPr>
          <w:rFonts w:ascii="Calibri" w:cs="Calibri" w:eastAsia="Calibri" w:hAnsi="Calibri"/>
          <w:sz w:val="22"/>
          <w:szCs w:val="22"/>
        </w:rPr>
        <w:t xml:space="preserve">After thirteen (13) months from your last Consent decision — to align with CNIL guidance and prevailing supervisory authority expectations;</w:t>
      </w:r>
    </w:p>
    <w:p>
      <w:pPr>
        <w:pStyle w:val="ListParagraph"/>
        <w:numPr>
          <w:ilvl w:val="0"/>
          <w:numId w:val="2"/>
        </w:numPr>
        <w:spacing w:after="80" w:line="280"/>
      </w:pPr>
      <w:r>
        <w:rPr>
          <w:rFonts w:ascii="Calibri" w:cs="Calibri" w:eastAsia="Calibri" w:hAnsi="Calibri"/>
          <w:sz w:val="22"/>
          <w:szCs w:val="22"/>
        </w:rPr>
        <w:t xml:space="preserve">When you clear Cookies in your browser or reinstall the application;</w:t>
      </w:r>
    </w:p>
    <w:p>
      <w:pPr>
        <w:pStyle w:val="ListParagraph"/>
        <w:numPr>
          <w:ilvl w:val="0"/>
          <w:numId w:val="2"/>
        </w:numPr>
        <w:spacing w:after="80" w:line="280"/>
      </w:pPr>
      <w:r>
        <w:rPr>
          <w:rFonts w:ascii="Calibri" w:cs="Calibri" w:eastAsia="Calibri" w:hAnsi="Calibri"/>
          <w:sz w:val="22"/>
          <w:szCs w:val="22"/>
        </w:rPr>
        <w:t xml:space="preserve">When you sign in from a new device or browser.</w:t>
      </w:r>
    </w:p>
    <w:p>
      <w:pPr>
        <w:pStyle w:val="Heading1"/>
        <w:spacing w:after="180" w:before="360" w:line="300"/>
      </w:pPr>
      <w:r>
        <w:rPr>
          <w:rFonts w:ascii="Calibri" w:cs="Calibri" w:eastAsia="Calibri" w:hAnsi="Calibri"/>
          <w:b/>
          <w:bCs/>
          <w:color w:val="1F3864"/>
          <w:sz w:val="30"/>
          <w:szCs w:val="30"/>
        </w:rPr>
        <w:t xml:space="preserve">8. Children and Cookies</w:t>
      </w:r>
    </w:p>
    <w:p>
      <w:pPr>
        <w:spacing w:after="120" w:line="300"/>
      </w:pPr>
      <w:r>
        <w:rPr>
          <w:rFonts w:ascii="Calibri" w:cs="Calibri" w:eastAsia="Calibri" w:hAnsi="Calibri"/>
          <w:sz w:val="22"/>
          <w:szCs w:val="22"/>
        </w:rPr>
        <w:t xml:space="preserve">In accordance with §14 of the Privacy Policy and Section 9 of the DPDP Act, the following absolute restrictions apply to Users below the age of 18:</w:t>
      </w:r>
    </w:p>
    <w:p>
      <w:pPr>
        <w:pStyle w:val="ListParagraph"/>
        <w:numPr>
          <w:ilvl w:val="0"/>
          <w:numId w:val="2"/>
        </w:numPr>
        <w:spacing w:after="80" w:line="280"/>
      </w:pPr>
      <w:r>
        <w:rPr>
          <w:rFonts w:ascii="Calibri" w:cs="Calibri" w:eastAsia="Calibri" w:hAnsi="Calibri"/>
          <w:sz w:val="22"/>
          <w:szCs w:val="22"/>
        </w:rPr>
        <w:t xml:space="preserve">No Advertising or Marketing Cookies are set, regardless of any purported Consent;</w:t>
      </w:r>
    </w:p>
    <w:p>
      <w:pPr>
        <w:pStyle w:val="ListParagraph"/>
        <w:numPr>
          <w:ilvl w:val="0"/>
          <w:numId w:val="2"/>
        </w:numPr>
        <w:spacing w:after="80" w:line="280"/>
      </w:pPr>
      <w:r>
        <w:rPr>
          <w:rFonts w:ascii="Calibri" w:cs="Calibri" w:eastAsia="Calibri" w:hAnsi="Calibri"/>
          <w:sz w:val="22"/>
          <w:szCs w:val="22"/>
        </w:rPr>
        <w:t xml:space="preserve">No behavioural Analytics Cookies are used to build profiles;</w:t>
      </w:r>
    </w:p>
    <w:p>
      <w:pPr>
        <w:pStyle w:val="ListParagraph"/>
        <w:numPr>
          <w:ilvl w:val="0"/>
          <w:numId w:val="2"/>
        </w:numPr>
        <w:spacing w:after="80" w:line="280"/>
      </w:pPr>
      <w:r>
        <w:rPr>
          <w:rFonts w:ascii="Calibri" w:cs="Calibri" w:eastAsia="Calibri" w:hAnsi="Calibri"/>
          <w:sz w:val="22"/>
          <w:szCs w:val="22"/>
        </w:rPr>
        <w:t xml:space="preserve">No tracking of viewing or listening history for external analytics sharing;</w:t>
      </w:r>
    </w:p>
    <w:p>
      <w:pPr>
        <w:pStyle w:val="ListParagraph"/>
        <w:numPr>
          <w:ilvl w:val="0"/>
          <w:numId w:val="2"/>
        </w:numPr>
        <w:spacing w:after="80" w:line="280"/>
      </w:pPr>
      <w:r>
        <w:rPr>
          <w:rFonts w:ascii="Calibri" w:cs="Calibri" w:eastAsia="Calibri" w:hAnsi="Calibri"/>
          <w:sz w:val="22"/>
          <w:szCs w:val="22"/>
        </w:rPr>
        <w:t xml:space="preserve">No SDK-based advertising attribution;</w:t>
      </w:r>
    </w:p>
    <w:p>
      <w:pPr>
        <w:pStyle w:val="ListParagraph"/>
        <w:numPr>
          <w:ilvl w:val="0"/>
          <w:numId w:val="2"/>
        </w:numPr>
        <w:spacing w:after="80" w:line="280"/>
      </w:pPr>
      <w:r>
        <w:rPr>
          <w:rFonts w:ascii="Calibri" w:cs="Calibri" w:eastAsia="Calibri" w:hAnsi="Calibri"/>
          <w:sz w:val="22"/>
          <w:szCs w:val="22"/>
        </w:rPr>
        <w:t xml:space="preserve">Only Strictly Necessary Cookies and the minimum Functional Cookies required for accessibility, language, and safety features may be set;</w:t>
      </w:r>
    </w:p>
    <w:p>
      <w:pPr>
        <w:pStyle w:val="ListParagraph"/>
        <w:numPr>
          <w:ilvl w:val="0"/>
          <w:numId w:val="2"/>
        </w:numPr>
        <w:spacing w:after="80" w:line="280"/>
      </w:pPr>
      <w:r>
        <w:rPr>
          <w:rFonts w:ascii="Calibri" w:cs="Calibri" w:eastAsia="Calibri" w:hAnsi="Calibri"/>
          <w:sz w:val="22"/>
          <w:szCs w:val="22"/>
        </w:rPr>
        <w:t xml:space="preserve">Parental Consent obtained under §14 of the Privacy Policy does NOT extend Consent to behavioural tracking; the prohibition on tracking is independent of parental Consent and cannot be waived.</w:t>
      </w:r>
    </w:p>
    <w:p>
      <w:pPr>
        <w:spacing w:after="120" w:line="300"/>
      </w:pPr>
      <w:r>
        <w:rPr>
          <w:rFonts w:ascii="Calibri" w:cs="Calibri" w:eastAsia="Calibri" w:hAnsi="Calibri"/>
          <w:sz w:val="22"/>
          <w:szCs w:val="22"/>
        </w:rPr>
        <w:t xml:space="preserve">These restrictions apply from the moment a User declares an age below 18 at registration and persist until the User reaches the age of 18 (and re-confirms Consent through the standard adult flow).</w:t>
      </w:r>
    </w:p>
    <w:p>
      <w:pPr>
        <w:pStyle w:val="Heading1"/>
        <w:spacing w:after="180" w:before="360" w:line="300"/>
      </w:pPr>
      <w:r>
        <w:rPr>
          <w:rFonts w:ascii="Calibri" w:cs="Calibri" w:eastAsia="Calibri" w:hAnsi="Calibri"/>
          <w:b/>
          <w:bCs/>
          <w:color w:val="1F3864"/>
          <w:sz w:val="30"/>
          <w:szCs w:val="30"/>
        </w:rPr>
        <w:t xml:space="preserve">9. Withdrawal of Consent</w:t>
      </w:r>
    </w:p>
    <w:p>
      <w:pPr>
        <w:spacing w:after="120" w:line="300"/>
      </w:pPr>
      <w:r>
        <w:rPr>
          <w:rFonts w:ascii="Calibri" w:cs="Calibri" w:eastAsia="Calibri" w:hAnsi="Calibri"/>
          <w:sz w:val="22"/>
          <w:szCs w:val="22"/>
        </w:rPr>
        <w:t xml:space="preserve">You may withdraw or change your Consent at any time through:</w:t>
      </w:r>
    </w:p>
    <w:p>
      <w:pPr>
        <w:pStyle w:val="ListParagraph"/>
        <w:numPr>
          <w:ilvl w:val="0"/>
          <w:numId w:val="2"/>
        </w:numPr>
        <w:spacing w:after="80" w:line="280"/>
      </w:pPr>
      <w:r>
        <w:rPr>
          <w:rFonts w:ascii="Calibri" w:cs="Calibri" w:eastAsia="Calibri" w:hAnsi="Calibri"/>
          <w:b/>
          <w:bCs/>
          <w:sz w:val="22"/>
          <w:szCs w:val="22"/>
        </w:rPr>
        <w:t xml:space="preserve">Cookie Preferences Centre</w:t>
      </w:r>
      <w:r>
        <w:rPr>
          <w:rFonts w:ascii="Calibri" w:cs="Calibri" w:eastAsia="Calibri" w:hAnsi="Calibri"/>
          <w:sz w:val="22"/>
          <w:szCs w:val="22"/>
        </w:rPr>
        <w:t xml:space="preserve">: accessible from the persistent “Cookie Preferences” link in the Platform footer, and from Account Settings → Privacy → Cookies &amp; Tracking;</w:t>
      </w:r>
    </w:p>
    <w:p>
      <w:pPr>
        <w:pStyle w:val="ListParagraph"/>
        <w:numPr>
          <w:ilvl w:val="0"/>
          <w:numId w:val="2"/>
        </w:numPr>
        <w:spacing w:after="80" w:line="280"/>
      </w:pPr>
      <w:r>
        <w:rPr>
          <w:rFonts w:ascii="Calibri" w:cs="Calibri" w:eastAsia="Calibri" w:hAnsi="Calibri"/>
          <w:b/>
          <w:bCs/>
          <w:sz w:val="22"/>
          <w:szCs w:val="22"/>
        </w:rPr>
        <w:t xml:space="preserve">In-app controls</w:t>
      </w:r>
      <w:r>
        <w:rPr>
          <w:rFonts w:ascii="Calibri" w:cs="Calibri" w:eastAsia="Calibri" w:hAnsi="Calibri"/>
          <w:sz w:val="22"/>
          <w:szCs w:val="22"/>
        </w:rPr>
        <w:t xml:space="preserve">: the in-app Cookie Preferences screen on iOS and Android;</w:t>
      </w:r>
    </w:p>
    <w:p>
      <w:pPr>
        <w:pStyle w:val="ListParagraph"/>
        <w:numPr>
          <w:ilvl w:val="0"/>
          <w:numId w:val="2"/>
        </w:numPr>
        <w:spacing w:after="80" w:line="280"/>
      </w:pPr>
      <w:r>
        <w:rPr>
          <w:rFonts w:ascii="Calibri" w:cs="Calibri" w:eastAsia="Calibri" w:hAnsi="Calibri"/>
          <w:b/>
          <w:bCs/>
          <w:sz w:val="22"/>
          <w:szCs w:val="22"/>
        </w:rPr>
        <w:t xml:space="preserve">Browser controls</w:t>
      </w:r>
      <w:r>
        <w:rPr>
          <w:rFonts w:ascii="Calibri" w:cs="Calibri" w:eastAsia="Calibri" w:hAnsi="Calibri"/>
          <w:sz w:val="22"/>
          <w:szCs w:val="22"/>
        </w:rPr>
        <w:t xml:space="preserve">: browser-level deletion of Cookies clears your decisions and triggers a fresh banner on next visit;</w:t>
      </w:r>
    </w:p>
    <w:p>
      <w:pPr>
        <w:pStyle w:val="ListParagraph"/>
        <w:numPr>
          <w:ilvl w:val="0"/>
          <w:numId w:val="2"/>
        </w:numPr>
        <w:spacing w:after="80" w:line="280"/>
      </w:pPr>
      <w:r>
        <w:rPr>
          <w:rFonts w:ascii="Calibri" w:cs="Calibri" w:eastAsia="Calibri" w:hAnsi="Calibri"/>
          <w:b/>
          <w:bCs/>
          <w:sz w:val="22"/>
          <w:szCs w:val="22"/>
        </w:rPr>
        <w:t xml:space="preserve">Email to privacy@riseupcreators.com</w:t>
      </w:r>
      <w:r>
        <w:rPr>
          <w:rFonts w:ascii="Calibri" w:cs="Calibri" w:eastAsia="Calibri" w:hAnsi="Calibri"/>
          <w:sz w:val="22"/>
          <w:szCs w:val="22"/>
        </w:rPr>
        <w:t xml:space="preserve">: requests are processed within seven (7) days;</w:t>
      </w:r>
    </w:p>
    <w:p>
      <w:pPr>
        <w:pStyle w:val="ListParagraph"/>
        <w:numPr>
          <w:ilvl w:val="0"/>
          <w:numId w:val="2"/>
        </w:numPr>
        <w:spacing w:after="80" w:line="280"/>
      </w:pPr>
      <w:r>
        <w:rPr>
          <w:rFonts w:ascii="Calibri" w:cs="Calibri" w:eastAsia="Calibri" w:hAnsi="Calibri"/>
          <w:b/>
          <w:bCs/>
          <w:sz w:val="22"/>
          <w:szCs w:val="22"/>
        </w:rPr>
        <w:t xml:space="preserve">Registered Consent Manager</w:t>
      </w:r>
      <w:r>
        <w:rPr>
          <w:rFonts w:ascii="Calibri" w:cs="Calibri" w:eastAsia="Calibri" w:hAnsi="Calibri"/>
          <w:sz w:val="22"/>
          <w:szCs w:val="22"/>
        </w:rPr>
        <w:t xml:space="preserve">: where you use a Consent Manager registered under the DPDP framework, your withdrawal communicated through that Consent Manager is honoured.</w:t>
      </w:r>
    </w:p>
    <w:p>
      <w:pPr>
        <w:spacing w:after="120" w:line="300"/>
      </w:pPr>
      <w:r>
        <w:rPr>
          <w:rFonts w:ascii="Calibri" w:cs="Calibri" w:eastAsia="Calibri" w:hAnsi="Calibri"/>
          <w:sz w:val="22"/>
          <w:szCs w:val="22"/>
        </w:rPr>
        <w:t xml:space="preserve">Withdrawal of Consent:</w:t>
      </w:r>
    </w:p>
    <w:p>
      <w:pPr>
        <w:pStyle w:val="ListParagraph"/>
        <w:numPr>
          <w:ilvl w:val="0"/>
          <w:numId w:val="2"/>
        </w:numPr>
        <w:spacing w:after="80" w:line="280"/>
      </w:pPr>
      <w:r>
        <w:rPr>
          <w:rFonts w:ascii="Calibri" w:cs="Calibri" w:eastAsia="Calibri" w:hAnsi="Calibri"/>
          <w:sz w:val="22"/>
          <w:szCs w:val="22"/>
        </w:rPr>
        <w:t xml:space="preserve">Is as easy as granting Consent (consistent with Article 7(3) GDPR and §6(4) DPDP Act);</w:t>
      </w:r>
    </w:p>
    <w:p>
      <w:pPr>
        <w:pStyle w:val="ListParagraph"/>
        <w:numPr>
          <w:ilvl w:val="0"/>
          <w:numId w:val="2"/>
        </w:numPr>
        <w:spacing w:after="80" w:line="280"/>
      </w:pPr>
      <w:r>
        <w:rPr>
          <w:rFonts w:ascii="Calibri" w:cs="Calibri" w:eastAsia="Calibri" w:hAnsi="Calibri"/>
          <w:sz w:val="22"/>
          <w:szCs w:val="22"/>
        </w:rPr>
        <w:t xml:space="preserve">Takes effect prospectively; the lawfulness of processing based on Consent prior to withdrawal is not affected;</w:t>
      </w:r>
    </w:p>
    <w:p>
      <w:pPr>
        <w:pStyle w:val="ListParagraph"/>
        <w:numPr>
          <w:ilvl w:val="0"/>
          <w:numId w:val="2"/>
        </w:numPr>
        <w:spacing w:after="80" w:line="280"/>
      </w:pPr>
      <w:r>
        <w:rPr>
          <w:rFonts w:ascii="Calibri" w:cs="Calibri" w:eastAsia="Calibri" w:hAnsi="Calibri"/>
          <w:sz w:val="22"/>
          <w:szCs w:val="22"/>
        </w:rPr>
        <w:t xml:space="preserve">Triggers deletion of Cookies in the withdrawn categories within forty-eight (48) hours;</w:t>
      </w:r>
    </w:p>
    <w:p>
      <w:pPr>
        <w:pStyle w:val="ListParagraph"/>
        <w:numPr>
          <w:ilvl w:val="0"/>
          <w:numId w:val="2"/>
        </w:numPr>
        <w:spacing w:after="80" w:line="280"/>
      </w:pPr>
      <w:r>
        <w:rPr>
          <w:rFonts w:ascii="Calibri" w:cs="Calibri" w:eastAsia="Calibri" w:hAnsi="Calibri"/>
          <w:sz w:val="22"/>
          <w:szCs w:val="22"/>
        </w:rPr>
        <w:t xml:space="preserve">Triggers cessation of associated processing within seventy-two (72) hours.</w:t>
      </w:r>
    </w:p>
    <w:p>
      <w:pPr>
        <w:pStyle w:val="Heading1"/>
        <w:spacing w:after="180" w:before="360" w:line="300"/>
      </w:pPr>
      <w:r>
        <w:rPr>
          <w:rFonts w:ascii="Calibri" w:cs="Calibri" w:eastAsia="Calibri" w:hAnsi="Calibri"/>
          <w:b/>
          <w:bCs/>
          <w:color w:val="1F3864"/>
          <w:sz w:val="30"/>
          <w:szCs w:val="30"/>
        </w:rPr>
        <w:t xml:space="preserve">10. Sensitive Personal Data and Cookies</w:t>
      </w:r>
    </w:p>
    <w:p>
      <w:pPr>
        <w:spacing w:after="120" w:line="300"/>
      </w:pPr>
      <w:r>
        <w:rPr>
          <w:rFonts w:ascii="Calibri" w:cs="Calibri" w:eastAsia="Calibri" w:hAnsi="Calibri"/>
          <w:sz w:val="22"/>
          <w:szCs w:val="22"/>
        </w:rPr>
        <w:t xml:space="preserve">Cookies and Similar Technologies shall not be used to target advertising, profile Users, build audience segments, or share data with third parties on the basis of:</w:t>
      </w:r>
    </w:p>
    <w:p>
      <w:pPr>
        <w:pStyle w:val="ListParagraph"/>
        <w:numPr>
          <w:ilvl w:val="0"/>
          <w:numId w:val="2"/>
        </w:numPr>
        <w:spacing w:after="80" w:line="280"/>
      </w:pPr>
      <w:r>
        <w:rPr>
          <w:rFonts w:ascii="Calibri" w:cs="Calibri" w:eastAsia="Calibri" w:hAnsi="Calibri"/>
          <w:sz w:val="22"/>
          <w:szCs w:val="22"/>
        </w:rPr>
        <w:t xml:space="preserve">Caste, religion, ethnicity, or national origin;</w:t>
      </w:r>
    </w:p>
    <w:p>
      <w:pPr>
        <w:pStyle w:val="ListParagraph"/>
        <w:numPr>
          <w:ilvl w:val="0"/>
          <w:numId w:val="2"/>
        </w:numPr>
        <w:spacing w:after="80" w:line="280"/>
      </w:pPr>
      <w:r>
        <w:rPr>
          <w:rFonts w:ascii="Calibri" w:cs="Calibri" w:eastAsia="Calibri" w:hAnsi="Calibri"/>
          <w:sz w:val="22"/>
          <w:szCs w:val="22"/>
        </w:rPr>
        <w:t xml:space="preserve">Sexual orientation, gender identity, or sex life;</w:t>
      </w:r>
    </w:p>
    <w:p>
      <w:pPr>
        <w:pStyle w:val="ListParagraph"/>
        <w:numPr>
          <w:ilvl w:val="0"/>
          <w:numId w:val="2"/>
        </w:numPr>
        <w:spacing w:after="80" w:line="280"/>
      </w:pPr>
      <w:r>
        <w:rPr>
          <w:rFonts w:ascii="Calibri" w:cs="Calibri" w:eastAsia="Calibri" w:hAnsi="Calibri"/>
          <w:sz w:val="22"/>
          <w:szCs w:val="22"/>
        </w:rPr>
        <w:t xml:space="preserve">Political beliefs or trade-union membership;</w:t>
      </w:r>
    </w:p>
    <w:p>
      <w:pPr>
        <w:pStyle w:val="ListParagraph"/>
        <w:numPr>
          <w:ilvl w:val="0"/>
          <w:numId w:val="2"/>
        </w:numPr>
        <w:spacing w:after="80" w:line="280"/>
      </w:pPr>
      <w:r>
        <w:rPr>
          <w:rFonts w:ascii="Calibri" w:cs="Calibri" w:eastAsia="Calibri" w:hAnsi="Calibri"/>
          <w:sz w:val="22"/>
          <w:szCs w:val="22"/>
        </w:rPr>
        <w:t xml:space="preserve">Health data, including pregnancy status, mental health, or disability;</w:t>
      </w:r>
    </w:p>
    <w:p>
      <w:pPr>
        <w:pStyle w:val="ListParagraph"/>
        <w:numPr>
          <w:ilvl w:val="0"/>
          <w:numId w:val="2"/>
        </w:numPr>
        <w:spacing w:after="80" w:line="280"/>
      </w:pPr>
      <w:r>
        <w:rPr>
          <w:rFonts w:ascii="Calibri" w:cs="Calibri" w:eastAsia="Calibri" w:hAnsi="Calibri"/>
          <w:sz w:val="22"/>
          <w:szCs w:val="22"/>
        </w:rPr>
        <w:t xml:space="preserve">Biometric or genetic data;</w:t>
      </w:r>
    </w:p>
    <w:p>
      <w:pPr>
        <w:pStyle w:val="ListParagraph"/>
        <w:numPr>
          <w:ilvl w:val="0"/>
          <w:numId w:val="2"/>
        </w:numPr>
        <w:spacing w:after="80" w:line="280"/>
      </w:pPr>
      <w:r>
        <w:rPr>
          <w:rFonts w:ascii="Calibri" w:cs="Calibri" w:eastAsia="Calibri" w:hAnsi="Calibri"/>
          <w:sz w:val="22"/>
          <w:szCs w:val="22"/>
        </w:rPr>
        <w:t xml:space="preserve">Children's data, in any form (see §8);</w:t>
      </w:r>
    </w:p>
    <w:p>
      <w:pPr>
        <w:pStyle w:val="ListParagraph"/>
        <w:numPr>
          <w:ilvl w:val="0"/>
          <w:numId w:val="2"/>
        </w:numPr>
        <w:spacing w:after="80" w:line="280"/>
      </w:pPr>
      <w:r>
        <w:rPr>
          <w:rFonts w:ascii="Calibri" w:cs="Calibri" w:eastAsia="Calibri" w:hAnsi="Calibri"/>
          <w:sz w:val="22"/>
          <w:szCs w:val="22"/>
        </w:rPr>
        <w:t xml:space="preserve">Financial data classified as Sensitive Personal Data or Information under the IT (SPDI) Rules, 2011.</w:t>
      </w:r>
    </w:p>
    <w:p>
      <w:pPr>
        <w:spacing w:after="120" w:line="300"/>
      </w:pPr>
      <w:r>
        <w:rPr>
          <w:rFonts w:ascii="Calibri" w:cs="Calibri" w:eastAsia="Calibri" w:hAnsi="Calibri"/>
          <w:sz w:val="22"/>
          <w:szCs w:val="22"/>
        </w:rPr>
        <w:t xml:space="preserve">This restriction is absolute and applies even where the User has purportedly consented, in line with Article 9 GDPR safeguards, Article 26(3) of the EU Digital Services Act, and the CCPA Guidelines for Prevention of Misleading Advertisements, 2022.</w:t>
      </w:r>
    </w:p>
    <w:p>
      <w:pPr>
        <w:pStyle w:val="Heading1"/>
        <w:spacing w:after="180" w:before="360" w:line="300"/>
      </w:pPr>
      <w:r>
        <w:rPr>
          <w:rFonts w:ascii="Calibri" w:cs="Calibri" w:eastAsia="Calibri" w:hAnsi="Calibri"/>
          <w:b/>
          <w:bCs/>
          <w:color w:val="1F3864"/>
          <w:sz w:val="30"/>
          <w:szCs w:val="30"/>
        </w:rPr>
        <w:t xml:space="preserve">11. Do Not Track and Global Privacy Control Signals</w:t>
      </w:r>
    </w:p>
    <w:p>
      <w:pPr>
        <w:pStyle w:val="Heading2"/>
        <w:spacing w:after="120" w:before="240" w:line="300"/>
      </w:pPr>
      <w:r>
        <w:rPr>
          <w:rFonts w:ascii="Calibri" w:cs="Calibri" w:eastAsia="Calibri" w:hAnsi="Calibri"/>
          <w:b/>
          <w:bCs/>
          <w:color w:val="2E5496"/>
          <w:sz w:val="26"/>
          <w:szCs w:val="26"/>
        </w:rPr>
        <w:t xml:space="preserve">A. Global Privacy Control (GPC)</w:t>
      </w:r>
    </w:p>
    <w:p>
      <w:pPr>
        <w:spacing w:after="120" w:line="300"/>
      </w:pPr>
      <w:r>
        <w:rPr>
          <w:rFonts w:ascii="Calibri" w:cs="Calibri" w:eastAsia="Calibri" w:hAnsi="Calibri"/>
          <w:sz w:val="22"/>
          <w:szCs w:val="22"/>
        </w:rPr>
        <w:t xml:space="preserve">Where your browser or device transmits a Global Privacy Control signal, we treat the signal as a Withdrawal of Consent for Advertising and Marketing Cookies and, where applicable under Californian and other state privacy laws, as a request to opt out of “sale” and “sharing” of personal data. The GPC signal:</w:t>
      </w:r>
    </w:p>
    <w:p>
      <w:pPr>
        <w:pStyle w:val="ListParagraph"/>
        <w:numPr>
          <w:ilvl w:val="0"/>
          <w:numId w:val="2"/>
        </w:numPr>
        <w:spacing w:after="80" w:line="280"/>
      </w:pPr>
      <w:r>
        <w:rPr>
          <w:rFonts w:ascii="Calibri" w:cs="Calibri" w:eastAsia="Calibri" w:hAnsi="Calibri"/>
          <w:sz w:val="22"/>
          <w:szCs w:val="22"/>
        </w:rPr>
        <w:t xml:space="preserve">Is honoured at the browser-and-device level;</w:t>
      </w:r>
    </w:p>
    <w:p>
      <w:pPr>
        <w:pStyle w:val="ListParagraph"/>
        <w:numPr>
          <w:ilvl w:val="0"/>
          <w:numId w:val="2"/>
        </w:numPr>
        <w:spacing w:after="80" w:line="280"/>
      </w:pPr>
      <w:r>
        <w:rPr>
          <w:rFonts w:ascii="Calibri" w:cs="Calibri" w:eastAsia="Calibri" w:hAnsi="Calibri"/>
          <w:sz w:val="22"/>
          <w:szCs w:val="22"/>
        </w:rPr>
        <w:t xml:space="preserve">Overrides any prior Consent for Advertising and Marketing Cookies on that browser-and-device;</w:t>
      </w:r>
    </w:p>
    <w:p>
      <w:pPr>
        <w:pStyle w:val="ListParagraph"/>
        <w:numPr>
          <w:ilvl w:val="0"/>
          <w:numId w:val="2"/>
        </w:numPr>
        <w:spacing w:after="80" w:line="280"/>
      </w:pPr>
      <w:r>
        <w:rPr>
          <w:rFonts w:ascii="Calibri" w:cs="Calibri" w:eastAsia="Calibri" w:hAnsi="Calibri"/>
          <w:sz w:val="22"/>
          <w:szCs w:val="22"/>
        </w:rPr>
        <w:t xml:space="preserve">Does not affect Strictly Necessary Cookies;</w:t>
      </w:r>
    </w:p>
    <w:p>
      <w:pPr>
        <w:pStyle w:val="ListParagraph"/>
        <w:numPr>
          <w:ilvl w:val="0"/>
          <w:numId w:val="2"/>
        </w:numPr>
        <w:spacing w:after="80" w:line="280"/>
      </w:pPr>
      <w:r>
        <w:rPr>
          <w:rFonts w:ascii="Calibri" w:cs="Calibri" w:eastAsia="Calibri" w:hAnsi="Calibri"/>
          <w:sz w:val="22"/>
          <w:szCs w:val="22"/>
        </w:rPr>
        <w:t xml:space="preserve">Is logged as a withdrawal event with timestamp and version hash.</w:t>
      </w:r>
    </w:p>
    <w:p>
      <w:pPr>
        <w:pStyle w:val="Heading2"/>
        <w:spacing w:after="120" w:before="240" w:line="300"/>
      </w:pPr>
      <w:r>
        <w:rPr>
          <w:rFonts w:ascii="Calibri" w:cs="Calibri" w:eastAsia="Calibri" w:hAnsi="Calibri"/>
          <w:b/>
          <w:bCs/>
          <w:color w:val="2E5496"/>
          <w:sz w:val="26"/>
          <w:szCs w:val="26"/>
        </w:rPr>
        <w:t xml:space="preserve">B. Do Not Track (DNT)</w:t>
      </w:r>
    </w:p>
    <w:p>
      <w:pPr>
        <w:spacing w:after="120" w:line="300"/>
      </w:pPr>
      <w:r>
        <w:rPr>
          <w:rFonts w:ascii="Calibri" w:cs="Calibri" w:eastAsia="Calibri" w:hAnsi="Calibri"/>
          <w:sz w:val="22"/>
          <w:szCs w:val="22"/>
        </w:rPr>
        <w:t xml:space="preserve">Legacy DNT browser signals are inconsistently implemented across browsers and are not currently a binding industry or legal standard. We do not act on DNT signals in isolation. Users wishing to opt out should use the Cookie Preferences Centre or transmit a GPC signal, both of which we honour.</w:t>
      </w:r>
    </w:p>
    <w:p>
      <w:pPr>
        <w:pStyle w:val="Heading1"/>
        <w:spacing w:after="180" w:before="360" w:line="300"/>
      </w:pPr>
      <w:r>
        <w:rPr>
          <w:rFonts w:ascii="Calibri" w:cs="Calibri" w:eastAsia="Calibri" w:hAnsi="Calibri"/>
          <w:b/>
          <w:bCs/>
          <w:color w:val="1F3864"/>
          <w:sz w:val="30"/>
          <w:szCs w:val="30"/>
        </w:rPr>
        <w:t xml:space="preserve">12. Cross-Border Transfers Arising from Cookies</w:t>
      </w:r>
    </w:p>
    <w:p>
      <w:pPr>
        <w:spacing w:after="120" w:line="300"/>
      </w:pPr>
      <w:r>
        <w:rPr>
          <w:rFonts w:ascii="Calibri" w:cs="Calibri" w:eastAsia="Calibri" w:hAnsi="Calibri"/>
          <w:sz w:val="22"/>
          <w:szCs w:val="22"/>
        </w:rPr>
        <w:t xml:space="preserve">Some third-party Cookies and SDKs cause data to be transmitted to Processors and Controllers located outside India. Such transfers are governed by §10 of the Privacy Policy, including:</w:t>
      </w:r>
    </w:p>
    <w:p>
      <w:pPr>
        <w:pStyle w:val="ListParagraph"/>
        <w:numPr>
          <w:ilvl w:val="0"/>
          <w:numId w:val="2"/>
        </w:numPr>
        <w:spacing w:after="80" w:line="280"/>
      </w:pPr>
      <w:r>
        <w:rPr>
          <w:rFonts w:ascii="Calibri" w:cs="Calibri" w:eastAsia="Calibri" w:hAnsi="Calibri"/>
          <w:sz w:val="22"/>
          <w:szCs w:val="22"/>
        </w:rPr>
        <w:t xml:space="preserve">Compliance with §16 of the DPDP Act (Central Government notifications on permitted countries);</w:t>
      </w:r>
    </w:p>
    <w:p>
      <w:pPr>
        <w:pStyle w:val="ListParagraph"/>
        <w:numPr>
          <w:ilvl w:val="0"/>
          <w:numId w:val="2"/>
        </w:numPr>
        <w:spacing w:after="80" w:line="280"/>
      </w:pPr>
      <w:r>
        <w:rPr>
          <w:rFonts w:ascii="Calibri" w:cs="Calibri" w:eastAsia="Calibri" w:hAnsi="Calibri"/>
          <w:sz w:val="22"/>
          <w:szCs w:val="22"/>
        </w:rPr>
        <w:t xml:space="preserve">Standard Contractual Clauses for transfers from the EU/EEA/UK to third countries;</w:t>
      </w:r>
    </w:p>
    <w:p>
      <w:pPr>
        <w:pStyle w:val="ListParagraph"/>
        <w:numPr>
          <w:ilvl w:val="0"/>
          <w:numId w:val="2"/>
        </w:numPr>
        <w:spacing w:after="80" w:line="280"/>
      </w:pPr>
      <w:r>
        <w:rPr>
          <w:rFonts w:ascii="Calibri" w:cs="Calibri" w:eastAsia="Calibri" w:hAnsi="Calibri"/>
          <w:sz w:val="22"/>
          <w:szCs w:val="22"/>
        </w:rPr>
        <w:t xml:space="preserve">Vendor-level Transfer Impact Assessments where required by Schrems II / EDPB Recommendations 01/2020;</w:t>
      </w:r>
    </w:p>
    <w:p>
      <w:pPr>
        <w:pStyle w:val="ListParagraph"/>
        <w:numPr>
          <w:ilvl w:val="0"/>
          <w:numId w:val="2"/>
        </w:numPr>
        <w:spacing w:after="80" w:line="280"/>
      </w:pPr>
      <w:r>
        <w:rPr>
          <w:rFonts w:ascii="Calibri" w:cs="Calibri" w:eastAsia="Calibri" w:hAnsi="Calibri"/>
          <w:sz w:val="22"/>
          <w:szCs w:val="22"/>
        </w:rPr>
        <w:t xml:space="preserve">Contractual safeguards in Data Processing Agreements with each vendor.</w:t>
      </w:r>
    </w:p>
    <w:p>
      <w:pPr>
        <w:spacing w:after="120" w:line="300"/>
      </w:pPr>
      <w:r>
        <w:rPr>
          <w:rFonts w:ascii="Calibri" w:cs="Calibri" w:eastAsia="Calibri" w:hAnsi="Calibri"/>
          <w:sz w:val="22"/>
          <w:szCs w:val="22"/>
        </w:rPr>
        <w:t xml:space="preserve">A list of countries to which Cookie-derived data is transferred is maintained in §10 of the Privacy Policy and refreshed quarterly.</w:t>
      </w:r>
    </w:p>
    <w:p>
      <w:pPr>
        <w:pStyle w:val="Heading1"/>
        <w:spacing w:after="180" w:before="360" w:line="300"/>
      </w:pPr>
      <w:r>
        <w:rPr>
          <w:rFonts w:ascii="Calibri" w:cs="Calibri" w:eastAsia="Calibri" w:hAnsi="Calibri"/>
          <w:b/>
          <w:bCs/>
          <w:color w:val="1F3864"/>
          <w:sz w:val="30"/>
          <w:szCs w:val="30"/>
        </w:rPr>
        <w:t xml:space="preserve">13. Retention of Cookies and Cookie-Derived Data</w:t>
      </w:r>
    </w:p>
    <w:p>
      <w:pPr>
        <w:pStyle w:val="Heading2"/>
        <w:spacing w:after="120" w:before="240" w:line="300"/>
      </w:pPr>
      <w:r>
        <w:rPr>
          <w:rFonts w:ascii="Calibri" w:cs="Calibri" w:eastAsia="Calibri" w:hAnsi="Calibri"/>
          <w:b/>
          <w:bCs/>
          <w:color w:val="2E5496"/>
          <w:sz w:val="26"/>
          <w:szCs w:val="26"/>
        </w:rPr>
        <w:t xml:space="preserve">A. Cookie Lifespan</w:t>
      </w:r>
    </w:p>
    <w:p>
      <w:pPr>
        <w:spacing w:after="120" w:line="300"/>
      </w:pPr>
      <w:r>
        <w:rPr>
          <w:rFonts w:ascii="Calibri" w:cs="Calibri" w:eastAsia="Calibri" w:hAnsi="Calibri"/>
          <w:sz w:val="22"/>
          <w:szCs w:val="22"/>
        </w:rPr>
        <w:t xml:space="preserve">The lifespan of each Cookie is disclosed at vendor level in Schedule A. In general:</w:t>
      </w:r>
    </w:p>
    <w:p>
      <w:pPr>
        <w:pStyle w:val="ListParagraph"/>
        <w:numPr>
          <w:ilvl w:val="0"/>
          <w:numId w:val="2"/>
        </w:numPr>
        <w:spacing w:after="80" w:line="280"/>
      </w:pPr>
      <w:r>
        <w:rPr>
          <w:rFonts w:ascii="Calibri" w:cs="Calibri" w:eastAsia="Calibri" w:hAnsi="Calibri"/>
          <w:b/>
          <w:bCs/>
          <w:sz w:val="22"/>
          <w:szCs w:val="22"/>
        </w:rPr>
        <w:t xml:space="preserve">Session Cookies</w:t>
      </w:r>
      <w:r>
        <w:rPr>
          <w:rFonts w:ascii="Calibri" w:cs="Calibri" w:eastAsia="Calibri" w:hAnsi="Calibri"/>
          <w:sz w:val="22"/>
          <w:szCs w:val="22"/>
        </w:rPr>
        <w:t xml:space="preserve"> expire when you close the browser or end the application session;</w:t>
      </w:r>
    </w:p>
    <w:p>
      <w:pPr>
        <w:pStyle w:val="ListParagraph"/>
        <w:numPr>
          <w:ilvl w:val="0"/>
          <w:numId w:val="2"/>
        </w:numPr>
        <w:spacing w:after="80" w:line="280"/>
      </w:pPr>
      <w:r>
        <w:rPr>
          <w:rFonts w:ascii="Calibri" w:cs="Calibri" w:eastAsia="Calibri" w:hAnsi="Calibri"/>
          <w:b/>
          <w:bCs/>
          <w:sz w:val="22"/>
          <w:szCs w:val="22"/>
        </w:rPr>
        <w:t xml:space="preserve">Persistent Cookies</w:t>
      </w:r>
      <w:r>
        <w:rPr>
          <w:rFonts w:ascii="Calibri" w:cs="Calibri" w:eastAsia="Calibri" w:hAnsi="Calibri"/>
          <w:sz w:val="22"/>
          <w:szCs w:val="22"/>
        </w:rPr>
        <w:t xml:space="preserve"> have a fixed expiry date; typical maxima for each category are thirteen (13) months;</w:t>
      </w:r>
    </w:p>
    <w:p>
      <w:pPr>
        <w:pStyle w:val="ListParagraph"/>
        <w:numPr>
          <w:ilvl w:val="0"/>
          <w:numId w:val="2"/>
        </w:numPr>
        <w:spacing w:after="80" w:line="280"/>
      </w:pPr>
      <w:r>
        <w:rPr>
          <w:rFonts w:ascii="Calibri" w:cs="Calibri" w:eastAsia="Calibri" w:hAnsi="Calibri"/>
          <w:b/>
          <w:bCs/>
          <w:sz w:val="22"/>
          <w:szCs w:val="22"/>
        </w:rPr>
        <w:t xml:space="preserve">Consent records</w:t>
      </w:r>
      <w:r>
        <w:rPr>
          <w:rFonts w:ascii="Calibri" w:cs="Calibri" w:eastAsia="Calibri" w:hAnsi="Calibri"/>
          <w:sz w:val="22"/>
          <w:szCs w:val="22"/>
        </w:rPr>
        <w:t xml:space="preserve"> retained per §11 of the Privacy Policy (duration of Consent plus five years for evidentiary purposes).</w:t>
      </w:r>
    </w:p>
    <w:p>
      <w:pPr>
        <w:spacing w:after="120" w:line="300"/>
      </w:pPr>
      <w:r>
        <w:rPr>
          <w:rFonts w:ascii="Calibri" w:cs="Calibri" w:eastAsia="Calibri" w:hAnsi="Calibri"/>
          <w:sz w:val="22"/>
          <w:szCs w:val="22"/>
        </w:rPr>
        <w:t xml:space="preserve">The thirteen-month maximum aligns with CNIL guidance and current EDPB expectations on Cookie lifespan.</w:t>
      </w:r>
    </w:p>
    <w:p>
      <w:pPr>
        <w:pStyle w:val="Heading2"/>
        <w:spacing w:after="120" w:before="240" w:line="300"/>
      </w:pPr>
      <w:r>
        <w:rPr>
          <w:rFonts w:ascii="Calibri" w:cs="Calibri" w:eastAsia="Calibri" w:hAnsi="Calibri"/>
          <w:b/>
          <w:bCs/>
          <w:color w:val="2E5496"/>
          <w:sz w:val="26"/>
          <w:szCs w:val="26"/>
        </w:rPr>
        <w:t xml:space="preserve">B. Cookie-Derived Data</w:t>
      </w:r>
    </w:p>
    <w:p>
      <w:pPr>
        <w:spacing w:after="120" w:line="300"/>
      </w:pPr>
      <w:r>
        <w:rPr>
          <w:rFonts w:ascii="Calibri" w:cs="Calibri" w:eastAsia="Calibri" w:hAnsi="Calibri"/>
          <w:sz w:val="22"/>
          <w:szCs w:val="22"/>
        </w:rPr>
        <w:t xml:space="preserve">Data collected through Cookies (such as analytics events, advertising interactions, and SDK telemetry) is retained per the data category retention schedule in §11 of the Privacy Policy. Aggregation and de-identification are applied wherever technically feasible.</w:t>
      </w:r>
    </w:p>
    <w:p>
      <w:pPr>
        <w:pStyle w:val="Heading1"/>
        <w:spacing w:after="180" w:before="360" w:line="300"/>
      </w:pPr>
      <w:r>
        <w:rPr>
          <w:rFonts w:ascii="Calibri" w:cs="Calibri" w:eastAsia="Calibri" w:hAnsi="Calibri"/>
          <w:b/>
          <w:bCs/>
          <w:color w:val="1F3864"/>
          <w:sz w:val="30"/>
          <w:szCs w:val="30"/>
        </w:rPr>
        <w:t xml:space="preserve">14. Browser-Level Controls (Information Only)</w:t>
      </w:r>
    </w:p>
    <w:p>
      <w:pPr>
        <w:spacing w:after="120" w:line="300"/>
      </w:pPr>
      <w:r>
        <w:rPr>
          <w:rFonts w:ascii="Calibri" w:cs="Calibri" w:eastAsia="Calibri" w:hAnsi="Calibri"/>
          <w:sz w:val="22"/>
          <w:szCs w:val="22"/>
        </w:rPr>
        <w:t xml:space="preserve">Beyond the Cookie Preferences Centre, you may manage Cookies at the browser level. Each browser implements its own controls; the typical paths are:</w:t>
      </w:r>
    </w:p>
    <w:p>
      <w:pPr>
        <w:pStyle w:val="ListParagraph"/>
        <w:numPr>
          <w:ilvl w:val="0"/>
          <w:numId w:val="2"/>
        </w:numPr>
        <w:spacing w:after="80" w:line="280"/>
      </w:pPr>
      <w:r>
        <w:rPr>
          <w:rFonts w:ascii="Calibri" w:cs="Calibri" w:eastAsia="Calibri" w:hAnsi="Calibri"/>
          <w:b/>
          <w:bCs/>
          <w:sz w:val="22"/>
          <w:szCs w:val="22"/>
        </w:rPr>
        <w:t xml:space="preserve">Chrome</w:t>
      </w:r>
      <w:r>
        <w:rPr>
          <w:rFonts w:ascii="Calibri" w:cs="Calibri" w:eastAsia="Calibri" w:hAnsi="Calibri"/>
          <w:sz w:val="22"/>
          <w:szCs w:val="22"/>
        </w:rPr>
        <w:t xml:space="preserve">: Settings → Privacy and Security → Cookies and other site data;</w:t>
      </w:r>
    </w:p>
    <w:p>
      <w:pPr>
        <w:pStyle w:val="ListParagraph"/>
        <w:numPr>
          <w:ilvl w:val="0"/>
          <w:numId w:val="2"/>
        </w:numPr>
        <w:spacing w:after="80" w:line="280"/>
      </w:pPr>
      <w:r>
        <w:rPr>
          <w:rFonts w:ascii="Calibri" w:cs="Calibri" w:eastAsia="Calibri" w:hAnsi="Calibri"/>
          <w:b/>
          <w:bCs/>
          <w:sz w:val="22"/>
          <w:szCs w:val="22"/>
        </w:rPr>
        <w:t xml:space="preserve">Firefox</w:t>
      </w:r>
      <w:r>
        <w:rPr>
          <w:rFonts w:ascii="Calibri" w:cs="Calibri" w:eastAsia="Calibri" w:hAnsi="Calibri"/>
          <w:sz w:val="22"/>
          <w:szCs w:val="22"/>
        </w:rPr>
        <w:t xml:space="preserve">: Settings → Privacy &amp; Security → Cookies and Site Data;</w:t>
      </w:r>
    </w:p>
    <w:p>
      <w:pPr>
        <w:pStyle w:val="ListParagraph"/>
        <w:numPr>
          <w:ilvl w:val="0"/>
          <w:numId w:val="2"/>
        </w:numPr>
        <w:spacing w:after="80" w:line="280"/>
      </w:pPr>
      <w:r>
        <w:rPr>
          <w:rFonts w:ascii="Calibri" w:cs="Calibri" w:eastAsia="Calibri" w:hAnsi="Calibri"/>
          <w:b/>
          <w:bCs/>
          <w:sz w:val="22"/>
          <w:szCs w:val="22"/>
        </w:rPr>
        <w:t xml:space="preserve">Safari (macOS)</w:t>
      </w:r>
      <w:r>
        <w:rPr>
          <w:rFonts w:ascii="Calibri" w:cs="Calibri" w:eastAsia="Calibri" w:hAnsi="Calibri"/>
          <w:sz w:val="22"/>
          <w:szCs w:val="22"/>
        </w:rPr>
        <w:t xml:space="preserve">: Settings → Privacy → Manage Website Data;</w:t>
      </w:r>
    </w:p>
    <w:p>
      <w:pPr>
        <w:pStyle w:val="ListParagraph"/>
        <w:numPr>
          <w:ilvl w:val="0"/>
          <w:numId w:val="2"/>
        </w:numPr>
        <w:spacing w:after="80" w:line="280"/>
      </w:pPr>
      <w:r>
        <w:rPr>
          <w:rFonts w:ascii="Calibri" w:cs="Calibri" w:eastAsia="Calibri" w:hAnsi="Calibri"/>
          <w:b/>
          <w:bCs/>
          <w:sz w:val="22"/>
          <w:szCs w:val="22"/>
        </w:rPr>
        <w:t xml:space="preserve">Safari (iOS)</w:t>
      </w:r>
      <w:r>
        <w:rPr>
          <w:rFonts w:ascii="Calibri" w:cs="Calibri" w:eastAsia="Calibri" w:hAnsi="Calibri"/>
          <w:sz w:val="22"/>
          <w:szCs w:val="22"/>
        </w:rPr>
        <w:t xml:space="preserve">: Settings → Safari → Privacy &amp; Security;</w:t>
      </w:r>
    </w:p>
    <w:p>
      <w:pPr>
        <w:pStyle w:val="ListParagraph"/>
        <w:numPr>
          <w:ilvl w:val="0"/>
          <w:numId w:val="2"/>
        </w:numPr>
        <w:spacing w:after="80" w:line="280"/>
      </w:pPr>
      <w:r>
        <w:rPr>
          <w:rFonts w:ascii="Calibri" w:cs="Calibri" w:eastAsia="Calibri" w:hAnsi="Calibri"/>
          <w:b/>
          <w:bCs/>
          <w:sz w:val="22"/>
          <w:szCs w:val="22"/>
        </w:rPr>
        <w:t xml:space="preserve">Edge</w:t>
      </w:r>
      <w:r>
        <w:rPr>
          <w:rFonts w:ascii="Calibri" w:cs="Calibri" w:eastAsia="Calibri" w:hAnsi="Calibri"/>
          <w:sz w:val="22"/>
          <w:szCs w:val="22"/>
        </w:rPr>
        <w:t xml:space="preserve">: Settings → Cookies and site permissions → Cookies and site data;</w:t>
      </w:r>
    </w:p>
    <w:p>
      <w:pPr>
        <w:pStyle w:val="ListParagraph"/>
        <w:numPr>
          <w:ilvl w:val="0"/>
          <w:numId w:val="2"/>
        </w:numPr>
        <w:spacing w:after="80" w:line="280"/>
      </w:pPr>
      <w:r>
        <w:rPr>
          <w:rFonts w:ascii="Calibri" w:cs="Calibri" w:eastAsia="Calibri" w:hAnsi="Calibri"/>
          <w:b/>
          <w:bCs/>
          <w:sz w:val="22"/>
          <w:szCs w:val="22"/>
        </w:rPr>
        <w:t xml:space="preserve">Brave</w:t>
      </w:r>
      <w:r>
        <w:rPr>
          <w:rFonts w:ascii="Calibri" w:cs="Calibri" w:eastAsia="Calibri" w:hAnsi="Calibri"/>
          <w:sz w:val="22"/>
          <w:szCs w:val="22"/>
        </w:rPr>
        <w:t xml:space="preserve">: Settings → Shields → Cookies;</w:t>
      </w:r>
    </w:p>
    <w:p>
      <w:pPr>
        <w:pStyle w:val="ListParagraph"/>
        <w:numPr>
          <w:ilvl w:val="0"/>
          <w:numId w:val="2"/>
        </w:numPr>
        <w:spacing w:after="80" w:line="280"/>
      </w:pPr>
      <w:r>
        <w:rPr>
          <w:rFonts w:ascii="Calibri" w:cs="Calibri" w:eastAsia="Calibri" w:hAnsi="Calibri"/>
          <w:b/>
          <w:bCs/>
          <w:sz w:val="22"/>
          <w:szCs w:val="22"/>
        </w:rPr>
        <w:t xml:space="preserve">Opera</w:t>
      </w:r>
      <w:r>
        <w:rPr>
          <w:rFonts w:ascii="Calibri" w:cs="Calibri" w:eastAsia="Calibri" w:hAnsi="Calibri"/>
          <w:sz w:val="22"/>
          <w:szCs w:val="22"/>
        </w:rPr>
        <w:t xml:space="preserve">: Settings → Advanced → Privacy &amp; security → Cookies and other site data.</w:t>
      </w:r>
    </w:p>
    <w:p>
      <w:pPr>
        <w:spacing w:after="120" w:line="300"/>
      </w:pPr>
      <w:r>
        <w:rPr>
          <w:rFonts w:ascii="Calibri" w:cs="Calibri" w:eastAsia="Calibri" w:hAnsi="Calibri"/>
          <w:sz w:val="22"/>
          <w:szCs w:val="22"/>
        </w:rPr>
        <w:t xml:space="preserve">Browser-level controls operate independently of the Cookie Preferences Centre and may produce inconsistent behaviour if used in combination. Where browser controls and the Preferences Centre conflict, the more privacy-protective setting is applied to the maximum extent technically feasible.</w:t>
      </w:r>
    </w:p>
    <w:p>
      <w:pPr>
        <w:pStyle w:val="Heading1"/>
        <w:spacing w:after="180" w:before="360" w:line="300"/>
      </w:pPr>
      <w:r>
        <w:rPr>
          <w:rFonts w:ascii="Calibri" w:cs="Calibri" w:eastAsia="Calibri" w:hAnsi="Calibri"/>
          <w:b/>
          <w:bCs/>
          <w:color w:val="1F3864"/>
          <w:sz w:val="30"/>
          <w:szCs w:val="30"/>
        </w:rPr>
        <w:t xml:space="preserve">15. Mobile Application Tracking Controls</w:t>
      </w:r>
    </w:p>
    <w:p>
      <w:pPr>
        <w:spacing w:after="120" w:line="300"/>
      </w:pPr>
      <w:r>
        <w:rPr>
          <w:rFonts w:ascii="Calibri" w:cs="Calibri" w:eastAsia="Calibri" w:hAnsi="Calibri"/>
          <w:sz w:val="22"/>
          <w:szCs w:val="22"/>
        </w:rPr>
        <w:t xml:space="preserve">In addition to the in-app Cookie Preferences screen:</w:t>
      </w:r>
    </w:p>
    <w:p>
      <w:pPr>
        <w:pStyle w:val="ListParagraph"/>
        <w:numPr>
          <w:ilvl w:val="0"/>
          <w:numId w:val="2"/>
        </w:numPr>
        <w:spacing w:after="80" w:line="280"/>
      </w:pPr>
      <w:r>
        <w:rPr>
          <w:rFonts w:ascii="Calibri" w:cs="Calibri" w:eastAsia="Calibri" w:hAnsi="Calibri"/>
          <w:b/>
          <w:bCs/>
          <w:sz w:val="22"/>
          <w:szCs w:val="22"/>
        </w:rPr>
        <w:t xml:space="preserve">iOS</w:t>
      </w:r>
      <w:r>
        <w:rPr>
          <w:rFonts w:ascii="Calibri" w:cs="Calibri" w:eastAsia="Calibri" w:hAnsi="Calibri"/>
          <w:sz w:val="22"/>
          <w:szCs w:val="22"/>
        </w:rPr>
        <w:t xml:space="preserve">: Settings → Privacy &amp; Security → Tracking → toggle “Allow Apps to Request to Track”; and Settings → Privacy &amp; Security → Apple Advertising → toggle “Personalised Ads”;</w:t>
      </w:r>
    </w:p>
    <w:p>
      <w:pPr>
        <w:pStyle w:val="ListParagraph"/>
        <w:numPr>
          <w:ilvl w:val="0"/>
          <w:numId w:val="2"/>
        </w:numPr>
        <w:spacing w:after="80" w:line="280"/>
      </w:pPr>
      <w:r>
        <w:rPr>
          <w:rFonts w:ascii="Calibri" w:cs="Calibri" w:eastAsia="Calibri" w:hAnsi="Calibri"/>
          <w:b/>
          <w:bCs/>
          <w:sz w:val="22"/>
          <w:szCs w:val="22"/>
        </w:rPr>
        <w:t xml:space="preserve">Android</w:t>
      </w:r>
      <w:r>
        <w:rPr>
          <w:rFonts w:ascii="Calibri" w:cs="Calibri" w:eastAsia="Calibri" w:hAnsi="Calibri"/>
          <w:sz w:val="22"/>
          <w:szCs w:val="22"/>
        </w:rPr>
        <w:t xml:space="preserve">: Settings → Privacy → Ads → “Delete advertising ID” and “Opt out of Ads Personalisation”.</w:t>
      </w:r>
    </w:p>
    <w:p>
      <w:pPr>
        <w:spacing w:after="120" w:line="300"/>
      </w:pPr>
      <w:r>
        <w:rPr>
          <w:rFonts w:ascii="Calibri" w:cs="Calibri" w:eastAsia="Calibri" w:hAnsi="Calibri"/>
          <w:sz w:val="22"/>
          <w:szCs w:val="22"/>
        </w:rPr>
        <w:t xml:space="preserve">We honour App Tracking Transparency (ATT) decisions on iOS and the Android Advertising ID opt-out as equivalent to Withdrawal of Consent for Advertising and Marketing Cookies on the device concerned.</w:t>
      </w:r>
    </w:p>
    <w:p>
      <w:pPr>
        <w:pStyle w:val="Heading1"/>
        <w:spacing w:after="180" w:before="360" w:line="300"/>
      </w:pPr>
      <w:r>
        <w:rPr>
          <w:rFonts w:ascii="Calibri" w:cs="Calibri" w:eastAsia="Calibri" w:hAnsi="Calibri"/>
          <w:b/>
          <w:bCs/>
          <w:color w:val="1F3864"/>
          <w:sz w:val="30"/>
          <w:szCs w:val="30"/>
        </w:rPr>
        <w:t xml:space="preserve">16. Audit, Logs, and Transparency</w:t>
      </w:r>
    </w:p>
    <w:p>
      <w:pPr>
        <w:pStyle w:val="Heading2"/>
        <w:spacing w:after="120" w:before="240" w:line="300"/>
      </w:pPr>
      <w:r>
        <w:rPr>
          <w:rFonts w:ascii="Calibri" w:cs="Calibri" w:eastAsia="Calibri" w:hAnsi="Calibri"/>
          <w:b/>
          <w:bCs/>
          <w:color w:val="2E5496"/>
          <w:sz w:val="26"/>
          <w:szCs w:val="26"/>
        </w:rPr>
        <w:t xml:space="preserve">A. Consent Audit Log</w:t>
      </w:r>
    </w:p>
    <w:p>
      <w:pPr>
        <w:spacing w:after="120" w:line="300"/>
      </w:pPr>
      <w:r>
        <w:rPr>
          <w:rFonts w:ascii="Calibri" w:cs="Calibri" w:eastAsia="Calibri" w:hAnsi="Calibri"/>
          <w:sz w:val="22"/>
          <w:szCs w:val="22"/>
        </w:rPr>
        <w:t xml:space="preserve">For each Cookie Consent decision, we maintain a record containing:</w:t>
      </w:r>
    </w:p>
    <w:p>
      <w:pPr>
        <w:pStyle w:val="ListParagraph"/>
        <w:numPr>
          <w:ilvl w:val="0"/>
          <w:numId w:val="2"/>
        </w:numPr>
        <w:spacing w:after="80" w:line="280"/>
      </w:pPr>
      <w:r>
        <w:rPr>
          <w:rFonts w:ascii="Calibri" w:cs="Calibri" w:eastAsia="Calibri" w:hAnsi="Calibri"/>
          <w:sz w:val="22"/>
          <w:szCs w:val="22"/>
        </w:rPr>
        <w:t xml:space="preserve">Consent event identifier;</w:t>
      </w:r>
    </w:p>
    <w:p>
      <w:pPr>
        <w:pStyle w:val="ListParagraph"/>
        <w:numPr>
          <w:ilvl w:val="0"/>
          <w:numId w:val="2"/>
        </w:numPr>
        <w:spacing w:after="80" w:line="280"/>
      </w:pPr>
      <w:r>
        <w:rPr>
          <w:rFonts w:ascii="Calibri" w:cs="Calibri" w:eastAsia="Calibri" w:hAnsi="Calibri"/>
          <w:sz w:val="22"/>
          <w:szCs w:val="22"/>
        </w:rPr>
        <w:t xml:space="preserve">Timestamp (UTC);</w:t>
      </w:r>
    </w:p>
    <w:p>
      <w:pPr>
        <w:pStyle w:val="ListParagraph"/>
        <w:numPr>
          <w:ilvl w:val="0"/>
          <w:numId w:val="2"/>
        </w:numPr>
        <w:spacing w:after="80" w:line="280"/>
      </w:pPr>
      <w:r>
        <w:rPr>
          <w:rFonts w:ascii="Calibri" w:cs="Calibri" w:eastAsia="Calibri" w:hAnsi="Calibri"/>
          <w:sz w:val="22"/>
          <w:szCs w:val="22"/>
        </w:rPr>
        <w:t xml:space="preserve">IP address (hashed after ninety days);</w:t>
      </w:r>
    </w:p>
    <w:p>
      <w:pPr>
        <w:pStyle w:val="ListParagraph"/>
        <w:numPr>
          <w:ilvl w:val="0"/>
          <w:numId w:val="2"/>
        </w:numPr>
        <w:spacing w:after="80" w:line="280"/>
      </w:pPr>
      <w:r>
        <w:rPr>
          <w:rFonts w:ascii="Calibri" w:cs="Calibri" w:eastAsia="Calibri" w:hAnsi="Calibri"/>
          <w:sz w:val="22"/>
          <w:szCs w:val="22"/>
        </w:rPr>
        <w:t xml:space="preserve">User agent;</w:t>
      </w:r>
    </w:p>
    <w:p>
      <w:pPr>
        <w:pStyle w:val="ListParagraph"/>
        <w:numPr>
          <w:ilvl w:val="0"/>
          <w:numId w:val="2"/>
        </w:numPr>
        <w:spacing w:after="80" w:line="280"/>
      </w:pPr>
      <w:r>
        <w:rPr>
          <w:rFonts w:ascii="Calibri" w:cs="Calibri" w:eastAsia="Calibri" w:hAnsi="Calibri"/>
          <w:sz w:val="22"/>
          <w:szCs w:val="22"/>
        </w:rPr>
        <w:t xml:space="preserve">Cookie Policy version hash;</w:t>
      </w:r>
    </w:p>
    <w:p>
      <w:pPr>
        <w:pStyle w:val="ListParagraph"/>
        <w:numPr>
          <w:ilvl w:val="0"/>
          <w:numId w:val="2"/>
        </w:numPr>
        <w:spacing w:after="80" w:line="280"/>
      </w:pPr>
      <w:r>
        <w:rPr>
          <w:rFonts w:ascii="Calibri" w:cs="Calibri" w:eastAsia="Calibri" w:hAnsi="Calibri"/>
          <w:sz w:val="22"/>
          <w:szCs w:val="22"/>
        </w:rPr>
        <w:t xml:space="preserve">Vendor list hash;</w:t>
      </w:r>
    </w:p>
    <w:p>
      <w:pPr>
        <w:pStyle w:val="ListParagraph"/>
        <w:numPr>
          <w:ilvl w:val="0"/>
          <w:numId w:val="2"/>
        </w:numPr>
        <w:spacing w:after="80" w:line="280"/>
      </w:pPr>
      <w:r>
        <w:rPr>
          <w:rFonts w:ascii="Calibri" w:cs="Calibri" w:eastAsia="Calibri" w:hAnsi="Calibri"/>
          <w:sz w:val="22"/>
          <w:szCs w:val="22"/>
        </w:rPr>
        <w:t xml:space="preserve">Category-level and vendor-level decisions;</w:t>
      </w:r>
    </w:p>
    <w:p>
      <w:pPr>
        <w:pStyle w:val="ListParagraph"/>
        <w:numPr>
          <w:ilvl w:val="0"/>
          <w:numId w:val="2"/>
        </w:numPr>
        <w:spacing w:after="80" w:line="280"/>
      </w:pPr>
      <w:r>
        <w:rPr>
          <w:rFonts w:ascii="Calibri" w:cs="Calibri" w:eastAsia="Calibri" w:hAnsi="Calibri"/>
          <w:sz w:val="22"/>
          <w:szCs w:val="22"/>
        </w:rPr>
        <w:t xml:space="preserve">Method of decision (banner, preferences centre, GPC signal, withdrawal email).</w:t>
      </w:r>
    </w:p>
    <w:p>
      <w:pPr>
        <w:spacing w:after="120" w:line="300"/>
      </w:pPr>
      <w:r>
        <w:rPr>
          <w:rFonts w:ascii="Calibri" w:cs="Calibri" w:eastAsia="Calibri" w:hAnsi="Calibri"/>
          <w:sz w:val="22"/>
          <w:szCs w:val="22"/>
        </w:rPr>
        <w:t xml:space="preserve">This record is admissible in evidence under §65B of the Indian Evidence Act, 1872 (continued under the Bharatiya Sakshya Adhiniyam, 2023) and equivalent provisions abroad.</w:t>
      </w:r>
    </w:p>
    <w:p>
      <w:pPr>
        <w:pStyle w:val="Heading2"/>
        <w:spacing w:after="120" w:before="240" w:line="300"/>
      </w:pPr>
      <w:r>
        <w:rPr>
          <w:rFonts w:ascii="Calibri" w:cs="Calibri" w:eastAsia="Calibri" w:hAnsi="Calibri"/>
          <w:b/>
          <w:bCs/>
          <w:color w:val="2E5496"/>
          <w:sz w:val="26"/>
          <w:szCs w:val="26"/>
        </w:rPr>
        <w:t xml:space="preserve">B. Periodic Vendor Audit</w:t>
      </w:r>
    </w:p>
    <w:p>
      <w:pPr>
        <w:spacing w:after="120" w:line="300"/>
      </w:pPr>
      <w:r>
        <w:rPr>
          <w:rFonts w:ascii="Calibri" w:cs="Calibri" w:eastAsia="Calibri" w:hAnsi="Calibri"/>
          <w:sz w:val="22"/>
          <w:szCs w:val="22"/>
        </w:rPr>
        <w:t xml:space="preserve">Schedule A is reviewed and updated quarterly. New vendors are added only after vendor security assessment, Data Processing Agreement execution, and risk-tier classification. Removal of vendors triggers a Consent refresh.</w:t>
      </w:r>
    </w:p>
    <w:p>
      <w:pPr>
        <w:pStyle w:val="Heading2"/>
        <w:spacing w:after="120" w:before="240" w:line="300"/>
      </w:pPr>
      <w:r>
        <w:rPr>
          <w:rFonts w:ascii="Calibri" w:cs="Calibri" w:eastAsia="Calibri" w:hAnsi="Calibri"/>
          <w:b/>
          <w:bCs/>
          <w:color w:val="2E5496"/>
          <w:sz w:val="26"/>
          <w:szCs w:val="26"/>
        </w:rPr>
        <w:t xml:space="preserve">C. Transparency Reporting</w:t>
      </w:r>
    </w:p>
    <w:p>
      <w:pPr>
        <w:spacing w:after="120" w:line="300"/>
      </w:pPr>
      <w:r>
        <w:rPr>
          <w:rFonts w:ascii="Calibri" w:cs="Calibri" w:eastAsia="Calibri" w:hAnsi="Calibri"/>
          <w:sz w:val="22"/>
          <w:szCs w:val="22"/>
        </w:rPr>
        <w:t xml:space="preserve">Aggregate Cookie metrics (acceptance rate by category, withdrawal rate, geographical distribution) are published in our annual Transparency Report, alongside the metrics required under Rule 4(1)(d) of the IT Rules 2021 (where applicable) and Article 24 of the EU Digital Services Act.</w:t>
      </w:r>
    </w:p>
    <w:p>
      <w:pPr>
        <w:pStyle w:val="Heading1"/>
        <w:spacing w:after="180" w:before="360" w:line="300"/>
      </w:pPr>
      <w:r>
        <w:rPr>
          <w:rFonts w:ascii="Calibri" w:cs="Calibri" w:eastAsia="Calibri" w:hAnsi="Calibri"/>
          <w:b/>
          <w:bCs/>
          <w:color w:val="1F3864"/>
          <w:sz w:val="30"/>
          <w:szCs w:val="30"/>
        </w:rPr>
        <w:t xml:space="preserve">17. Grievances Relating to Cookies</w:t>
      </w:r>
    </w:p>
    <w:p>
      <w:pPr>
        <w:spacing w:after="120" w:line="300"/>
      </w:pPr>
      <w:r>
        <w:rPr>
          <w:rFonts w:ascii="Calibri" w:cs="Calibri" w:eastAsia="Calibri" w:hAnsi="Calibri"/>
          <w:sz w:val="22"/>
          <w:szCs w:val="22"/>
        </w:rPr>
        <w:t xml:space="preserve">Grievances relating to Cookies, Consent, or this Policy may be raised with the Grievance Officer under §19 of the Terms of Service and §16 of the Privacy Policy. The acknowledgement timeline (24 hours) and resolution timeline (15 days) apply.</w:t>
      </w:r>
    </w:p>
    <w:p>
      <w:pPr>
        <w:spacing w:after="120" w:line="300"/>
      </w:pPr>
      <w:r>
        <w:rPr>
          <w:rFonts w:ascii="Calibri" w:cs="Calibri" w:eastAsia="Calibri" w:hAnsi="Calibri"/>
          <w:sz w:val="22"/>
          <w:szCs w:val="22"/>
        </w:rPr>
        <w:t xml:space="preserve">In addition, EU/EEA/UK Users may lodge a complaint with their local supervisory authority. California Users may contact the California Privacy Protection Agency. Indian Users may escalate to the Data Protection Board of India under the DPDP Act.</w:t>
      </w:r>
    </w:p>
    <w:p>
      <w:pPr>
        <w:pStyle w:val="Heading1"/>
        <w:spacing w:after="180" w:before="360" w:line="300"/>
      </w:pPr>
      <w:r>
        <w:rPr>
          <w:rFonts w:ascii="Calibri" w:cs="Calibri" w:eastAsia="Calibri" w:hAnsi="Calibri"/>
          <w:b/>
          <w:bCs/>
          <w:color w:val="1F3864"/>
          <w:sz w:val="30"/>
          <w:szCs w:val="30"/>
        </w:rPr>
        <w:t xml:space="preserve">18. Changes to this Cookie Policy</w:t>
      </w:r>
    </w:p>
    <w:p>
      <w:pPr>
        <w:spacing w:after="120" w:line="300"/>
      </w:pPr>
      <w:r>
        <w:rPr>
          <w:rFonts w:ascii="Calibri" w:cs="Calibri" w:eastAsia="Calibri" w:hAnsi="Calibri"/>
          <w:sz w:val="22"/>
          <w:szCs w:val="22"/>
        </w:rPr>
        <w:t xml:space="preserve">We may amend this Cookie Policy to reflect:</w:t>
      </w:r>
    </w:p>
    <w:p>
      <w:pPr>
        <w:pStyle w:val="ListParagraph"/>
        <w:numPr>
          <w:ilvl w:val="0"/>
          <w:numId w:val="2"/>
        </w:numPr>
        <w:spacing w:after="80" w:line="280"/>
      </w:pPr>
      <w:r>
        <w:rPr>
          <w:rFonts w:ascii="Calibri" w:cs="Calibri" w:eastAsia="Calibri" w:hAnsi="Calibri"/>
          <w:sz w:val="22"/>
          <w:szCs w:val="22"/>
        </w:rPr>
        <w:t xml:space="preserve">Changes in Applicable Law or supervisory authority guidance;</w:t>
      </w:r>
    </w:p>
    <w:p>
      <w:pPr>
        <w:pStyle w:val="ListParagraph"/>
        <w:numPr>
          <w:ilvl w:val="0"/>
          <w:numId w:val="2"/>
        </w:numPr>
        <w:spacing w:after="80" w:line="280"/>
      </w:pPr>
      <w:r>
        <w:rPr>
          <w:rFonts w:ascii="Calibri" w:cs="Calibri" w:eastAsia="Calibri" w:hAnsi="Calibri"/>
          <w:sz w:val="22"/>
          <w:szCs w:val="22"/>
        </w:rPr>
        <w:t xml:space="preserve">Addition, removal, or modification of vendors disclosed in Schedule A;</w:t>
      </w:r>
    </w:p>
    <w:p>
      <w:pPr>
        <w:pStyle w:val="ListParagraph"/>
        <w:numPr>
          <w:ilvl w:val="0"/>
          <w:numId w:val="2"/>
        </w:numPr>
        <w:spacing w:after="80" w:line="280"/>
      </w:pPr>
      <w:r>
        <w:rPr>
          <w:rFonts w:ascii="Calibri" w:cs="Calibri" w:eastAsia="Calibri" w:hAnsi="Calibri"/>
          <w:sz w:val="22"/>
          <w:szCs w:val="22"/>
        </w:rPr>
        <w:t xml:space="preserve">Changes in Platform features that affect Cookie use;</w:t>
      </w:r>
    </w:p>
    <w:p>
      <w:pPr>
        <w:pStyle w:val="ListParagraph"/>
        <w:numPr>
          <w:ilvl w:val="0"/>
          <w:numId w:val="2"/>
        </w:numPr>
        <w:spacing w:after="80" w:line="280"/>
      </w:pPr>
      <w:r>
        <w:rPr>
          <w:rFonts w:ascii="Calibri" w:cs="Calibri" w:eastAsia="Calibri" w:hAnsi="Calibri"/>
          <w:sz w:val="22"/>
          <w:szCs w:val="22"/>
        </w:rPr>
        <w:t xml:space="preserve">Security and fraud prevention enhancements.</w:t>
      </w:r>
    </w:p>
    <w:p>
      <w:pPr>
        <w:spacing w:after="120" w:line="300"/>
      </w:pPr>
      <w:r>
        <w:rPr>
          <w:rFonts w:ascii="Calibri" w:cs="Calibri" w:eastAsia="Calibri" w:hAnsi="Calibri"/>
          <w:sz w:val="22"/>
          <w:szCs w:val="22"/>
        </w:rPr>
        <w:t xml:space="preserve">Material changes (changes to categories, addition of advertising vendors, change in lawful basis) require a fresh Cookie Banner on your next visit and re-acceptance through Consent. Non-material changes (typographical corrections, formatting, vendor lifespan adjustments within the same category) are posted at www.riseupcreators.com/legal/cookies with a version log and become effective on posting.</w:t>
      </w:r>
    </w:p>
    <w:p>
      <w:pPr>
        <w:pStyle w:val="Heading1"/>
        <w:spacing w:after="180" w:before="360" w:line="300"/>
      </w:pPr>
      <w:r>
        <w:rPr>
          <w:rFonts w:ascii="Calibri" w:cs="Calibri" w:eastAsia="Calibri" w:hAnsi="Calibri"/>
          <w:b/>
          <w:bCs/>
          <w:color w:val="1F3864"/>
          <w:sz w:val="30"/>
          <w:szCs w:val="30"/>
        </w:rPr>
        <w:t xml:space="preserve">19.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Contact Points</w:t>
            </w:r>
          </w:p>
          <w:p>
            <w:pPr>
              <w:spacing w:after="40"/>
            </w:pPr>
            <w:r>
              <w:rPr>
                <w:rFonts w:ascii="Calibri" w:cs="Calibri" w:eastAsia="Calibri" w:hAnsi="Calibri"/>
                <w:sz w:val="22"/>
                <w:szCs w:val="22"/>
              </w:rPr>
              <w:t xml:space="preserve">Privacy Email: privacy@riseupcreators.com</w:t>
            </w:r>
          </w:p>
          <w:p>
            <w:pPr>
              <w:spacing w:after="40"/>
            </w:pPr>
            <w:r>
              <w:rPr>
                <w:rFonts w:ascii="Calibri" w:cs="Calibri" w:eastAsia="Calibri" w:hAnsi="Calibri"/>
                <w:sz w:val="22"/>
                <w:szCs w:val="22"/>
              </w:rPr>
              <w:t xml:space="preserve">Grievance Officer: grievance@riseupcreators.com (per §19 of Terms of Service)</w:t>
            </w:r>
          </w:p>
          <w:p>
            <w:pPr>
              <w:spacing w:after="40"/>
            </w:pPr>
            <w:r>
              <w:rPr>
                <w:rFonts w:ascii="Calibri" w:cs="Calibri" w:eastAsia="Calibri" w:hAnsi="Calibri"/>
                <w:sz w:val="22"/>
                <w:szCs w:val="22"/>
              </w:rPr>
              <w:t xml:space="preserve">Data Protection Officer (when designated): dpo@riseupcreators.com</w:t>
            </w:r>
          </w:p>
          <w:p>
            <w:pPr>
              <w:spacing w:after="40"/>
            </w:pPr>
            <w:r>
              <w:rPr>
                <w:rFonts w:ascii="Calibri" w:cs="Calibri" w:eastAsia="Calibri" w:hAnsi="Calibri"/>
                <w:sz w:val="22"/>
                <w:szCs w:val="22"/>
              </w:rPr>
              <w:t xml:space="preserve">EU Representative: [To be appointed per Article 27 GDPR if EU User threshold reached]</w:t>
            </w:r>
          </w:p>
          <w:p>
            <w:pPr>
              <w:spacing w:after="40"/>
            </w:pPr>
            <w:r>
              <w:rPr>
                <w:rFonts w:ascii="Calibri" w:cs="Calibri" w:eastAsia="Calibri" w:hAnsi="Calibri"/>
                <w:sz w:val="22"/>
                <w:szCs w:val="22"/>
              </w:rPr>
              <w:t xml:space="preserve">UK Representative: [To be appointed per UK GDPR if UK User threshold reached]</w:t>
            </w:r>
          </w:p>
          <w:p>
            <w:pPr>
              <w:spacing w:after="40"/>
            </w:pPr>
            <w:r>
              <w:rPr>
                <w:rFonts w:ascii="Calibri" w:cs="Calibri" w:eastAsia="Calibri" w:hAnsi="Calibri"/>
                <w:sz w:val="22"/>
                <w:szCs w:val="22"/>
              </w:rPr>
              <w:t xml:space="preserve">Postal Address: Sharde Media and Productions Pvt. Ltd., Jagriti Nagar, Ashiyana, Patna Aerodome Phulwari, Patna — 800014, Bihar, India</w:t>
            </w:r>
          </w:p>
        </w:tc>
      </w:tr>
    </w:tbl>
    <w:p>
      <w:pPr>
        <w:pStyle w:val="Heading1"/>
        <w:spacing w:after="180" w:before="360" w:line="300"/>
      </w:pPr>
      <w:r>
        <w:rPr>
          <w:rFonts w:ascii="Calibri" w:cs="Calibri" w:eastAsia="Calibri" w:hAnsi="Calibri"/>
          <w:b/>
          <w:bCs/>
          <w:color w:val="1F3864"/>
          <w:sz w:val="30"/>
          <w:szCs w:val="30"/>
        </w:rPr>
        <w:t xml:space="preserve">Schedule A — Vendor and Cookie Disclosure (Template)</w:t>
      </w:r>
    </w:p>
    <w:p>
      <w:pPr>
        <w:spacing w:after="120" w:line="300"/>
      </w:pPr>
      <w:r>
        <w:rPr>
          <w:rFonts w:ascii="Calibri" w:cs="Calibri" w:eastAsia="Calibri" w:hAnsi="Calibri"/>
          <w:sz w:val="22"/>
          <w:szCs w:val="22"/>
        </w:rPr>
        <w:t xml:space="preserve">This Schedule is reviewed quarterly. The most current version is published at www.riseupcreators.com/legal/cookies/vendors. Each entry below is a category-level template; live vendor entries follow the same structure with the actual vendor name, processor jurisdiction, processing purpose, retention, and link to the vendor's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000"/>
        <w:gridCol w:w="1100"/>
        <w:gridCol w:w="1300"/>
        <w:gridCol w:w="1260"/>
      </w:tblGrid>
      <w:tr>
        <w:trPr>
          <w:tblHeader/>
        </w:trPr>
        <w:tc>
          <w:tcPr>
            <w:tcW w:type="dxa" w:w="15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Category</w:t>
            </w:r>
          </w:p>
        </w:tc>
        <w:tc>
          <w:tcPr>
            <w:tcW w:type="dxa" w:w="22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Vendor / Service</w:t>
            </w:r>
          </w:p>
        </w:tc>
        <w:tc>
          <w:tcPr>
            <w:tcW w:type="dxa" w:w="2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Purpose</w:t>
            </w:r>
          </w:p>
        </w:tc>
        <w:tc>
          <w:tcPr>
            <w:tcW w:type="dxa" w:w="11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Type</w:t>
            </w:r>
          </w:p>
        </w:tc>
        <w:tc>
          <w:tcPr>
            <w:tcW w:type="dxa" w:w="13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Lifespan</w:t>
            </w:r>
          </w:p>
        </w:tc>
        <w:tc>
          <w:tcPr>
            <w:tcW w:type="dxa" w:w="12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Jurisdiction</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Strictly Necessary</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RiseUp (first-party)</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Session, anti-CSRF, load balancing</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Session</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Strictly Necessary</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Payment Aggregator (Razorpay / PayU / Cashfree)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Payment session, tokenisation, fraud</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Session – 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Strictly Necessary</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Cloud / CDN (AWS / GCP / Cloudflare)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Edge caching, DDoS protection</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Up to 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 / EU / IN</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Functional</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RiseUp (first-party)</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Language, region, accessibility, theme</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Functional</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SendGrid / MSG91</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Email rendering preferences</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 / India</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Analytics</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RiseUp (first-party)</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Aggregated usage and performance</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Analytics</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Mixpanel / Firebase / Amplitude</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Product analytics (pseudonymised)</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 / EU</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Google Ads / Meta</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 delivery, frequency capping, attribution</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 / EU</w:t>
            </w:r>
          </w:p>
        </w:tc>
      </w:tr>
      <w:tr>
        <w:tc>
          <w:tcPr>
            <w:tcW w:type="dxa" w:w="1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Affiliate attribution (Impact / Branch)</w:t>
            </w:r>
          </w:p>
        </w:tc>
        <w:tc>
          <w:tcPr>
            <w:tcW w:type="dxa" w:w="2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Affiliate referral tracking</w:t>
            </w:r>
          </w:p>
        </w:tc>
        <w:tc>
          <w:tcPr>
            <w:tcW w:type="dxa" w:w="11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Third-party</w:t>
            </w:r>
          </w:p>
        </w:tc>
        <w:tc>
          <w:tcPr>
            <w:tcW w:type="dxa" w:w="1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months</w:t>
            </w:r>
          </w:p>
        </w:tc>
        <w:tc>
          <w:tcPr>
            <w:tcW w:type="dxa" w:w="1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w:t>
            </w:r>
          </w:p>
        </w:tc>
      </w:tr>
    </w:tbl>
    <w:p>
      <w:pPr>
        <w:spacing w:after="120" w:line="300"/>
      </w:pPr>
      <w:r>
        <w:rPr>
          <w:rFonts w:ascii="Calibri" w:cs="Calibri" w:eastAsia="Calibri" w:hAnsi="Calibri"/>
          <w:sz w:val="22"/>
          <w:szCs w:val="22"/>
        </w:rPr>
        <w:t xml:space="preserve">Live entries include: full legal vendor name; Processor/Controller classification; Data Processing Agreement reference; ISO 27001 / SOC 2 status; standard contractual clause version (where applicable); link to vendor's privacy policy; per-cookie name, domain, and expiry.</w:t>
      </w:r>
    </w:p>
    <w:p>
      <w:pPr>
        <w:pStyle w:val="Heading1"/>
        <w:spacing w:after="180" w:before="360" w:line="300"/>
      </w:pPr>
      <w:r>
        <w:rPr>
          <w:rFonts w:ascii="Calibri" w:cs="Calibri" w:eastAsia="Calibri" w:hAnsi="Calibri"/>
          <w:b/>
          <w:bCs/>
          <w:color w:val="1F3864"/>
          <w:sz w:val="30"/>
          <w:szCs w:val="30"/>
        </w:rPr>
        <w:t xml:space="preserve">Schedule B — Consent State Machine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3300"/>
        <w:gridCol w:w="3360"/>
      </w:tblGrid>
      <w:tr>
        <w:trPr>
          <w:tblHeader/>
        </w:trPr>
        <w:tc>
          <w:tcPr>
            <w:tcW w:type="dxa" w:w="2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Event</w:t>
            </w:r>
          </w:p>
        </w:tc>
        <w:tc>
          <w:tcPr>
            <w:tcW w:type="dxa" w:w="33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Consent State Change</w:t>
            </w:r>
          </w:p>
        </w:tc>
        <w:tc>
          <w:tcPr>
            <w:tcW w:type="dxa" w:w="33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Records Created</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 visit, no prior Consent</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Banner shown; no non-Strictly-Necessary Cookies set</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Pending</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User clicks Accept All</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Consent: all categories</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Audit log entry; category states 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User clicks Reject All</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Consent: only Strictly Necessary</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Audit log entry; category states OFF (except SN)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User uses Preferences Centre</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Per-category and per-vendor decisions stored</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Audit log entry; vendor-level states</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User changes preferences later</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New state replaces prior state prospectively</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Audit log entry referencing prior decision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Consent expires (13 months)</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Pending; banner re-shown on next visit</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Expiry event logged</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Material change in vendors or categories</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Pending; banner re-shown on next visit</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Change event linked to amendment log</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GPC signal received</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Advertising/Marketing categories set to OFF</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Audit log entry with GPC flag</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Withdrawal via email or Consent Manager</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request scope, categories set to OFF</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Audit log entry with channel marker</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Account deletion</w:t>
            </w:r>
          </w:p>
        </w:tc>
        <w:tc>
          <w:tcPr>
            <w:tcW w:type="dxa" w:w="3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Cookies cleared on next session; audit log retained per Privacy Policy §11</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Deletion event logged</w:t>
            </w:r>
          </w:p>
        </w:tc>
      </w:tr>
    </w:tbl>
    <w:p>
      <w:pPr>
        <w:pStyle w:val="Heading1"/>
        <w:spacing w:after="180" w:before="360" w:line="300"/>
      </w:pPr>
      <w:r>
        <w:rPr>
          <w:rFonts w:ascii="Calibri" w:cs="Calibri" w:eastAsia="Calibri" w:hAnsi="Calibri"/>
          <w:b/>
          <w:bCs/>
          <w:color w:val="1F3864"/>
          <w:sz w:val="30"/>
          <w:szCs w:val="30"/>
        </w:rPr>
        <w:t xml:space="preserve">Schedule C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This Policy</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§6 (Consent)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§6, §7</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§7(b) (service requested)</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§7(g) (security and fraud prevention)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 §6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§9 (Children)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§16 (cross-border transfer)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§43A and IT (SPDI) Rules, 2011</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 §13(B)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 and Rule 4</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§16(C), §17</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Card-on-File Tokenisation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5(3) ePrivacy Directive (Cookies)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 §6, §7</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6(1)(a) — Consent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6(1)(b) — Contract (Strictly Necessary)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6(1)(f) — Legitimate interests (security)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 §6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7(3) — Withdrawal of Consent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9 — Special categories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EDPB Guidelines 03/2022 (Deceptive Design Patterns)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EDPB Recommendations 01/2020 (Schrems II)</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CNIL Cookie Guidelines (13-month rule)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§7(C), §13(A)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Guidelines for Prevention of Misleading Advertisements, 2022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Guidelines for Prevention and Regulation of Dark Patterns,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24 (Transparency Reporting)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26(3) (No sensitive-category targeting)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California Privacy Rights Act / GPC recognition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Apple App Tracking Transparency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Android Advertising ID opt-out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w:t>
            </w:r>
          </w:p>
        </w:tc>
      </w:tr>
    </w:tbl>
    <w:p>
      <w:pPr>
        <w:pStyle w:val="Heading1"/>
        <w:spacing w:after="180" w:before="360" w:line="300"/>
      </w:pPr>
      <w:r>
        <w:rPr>
          <w:rFonts w:ascii="Calibri" w:cs="Calibri" w:eastAsia="Calibri" w:hAnsi="Calibri"/>
          <w:b/>
          <w:bCs/>
          <w:color w:val="1F3864"/>
          <w:sz w:val="30"/>
          <w:szCs w:val="30"/>
        </w:rPr>
        <w:t xml:space="preserve">Schedule D — User Acknowledgement</w:t>
      </w:r>
    </w:p>
    <w:p>
      <w:pPr>
        <w:spacing w:after="120" w:line="300"/>
      </w:pPr>
      <w:r>
        <w:rPr>
          <w:rFonts w:ascii="Calibri" w:cs="Calibri" w:eastAsia="Calibri" w:hAnsi="Calibri"/>
          <w:sz w:val="22"/>
          <w:szCs w:val="22"/>
        </w:rPr>
        <w:t xml:space="preserve">By using the Platform after engaging with the Cookie Banner, you acknowledge that:</w:t>
      </w:r>
    </w:p>
    <w:p>
      <w:pPr>
        <w:pStyle w:val="ListParagraph"/>
        <w:numPr>
          <w:ilvl w:val="0"/>
          <w:numId w:val="2"/>
        </w:numPr>
        <w:spacing w:after="80" w:line="280"/>
      </w:pPr>
      <w:r>
        <w:rPr>
          <w:rFonts w:ascii="Calibri" w:cs="Calibri" w:eastAsia="Calibri" w:hAnsi="Calibri"/>
          <w:sz w:val="22"/>
          <w:szCs w:val="22"/>
        </w:rPr>
        <w:t xml:space="preserve">You have read and understood this Cookie Policy and the Privacy Policy;</w:t>
      </w:r>
    </w:p>
    <w:p>
      <w:pPr>
        <w:pStyle w:val="ListParagraph"/>
        <w:numPr>
          <w:ilvl w:val="0"/>
          <w:numId w:val="2"/>
        </w:numPr>
        <w:spacing w:after="80" w:line="280"/>
      </w:pPr>
      <w:r>
        <w:rPr>
          <w:rFonts w:ascii="Calibri" w:cs="Calibri" w:eastAsia="Calibri" w:hAnsi="Calibri"/>
          <w:sz w:val="22"/>
          <w:szCs w:val="22"/>
        </w:rPr>
        <w:t xml:space="preserve">Your Cookie Consent decisions are recorded and retained as set out in §16(A);</w:t>
      </w:r>
    </w:p>
    <w:p>
      <w:pPr>
        <w:pStyle w:val="ListParagraph"/>
        <w:numPr>
          <w:ilvl w:val="0"/>
          <w:numId w:val="2"/>
        </w:numPr>
        <w:spacing w:after="80" w:line="280"/>
      </w:pPr>
      <w:r>
        <w:rPr>
          <w:rFonts w:ascii="Calibri" w:cs="Calibri" w:eastAsia="Calibri" w:hAnsi="Calibri"/>
          <w:sz w:val="22"/>
          <w:szCs w:val="22"/>
        </w:rPr>
        <w:t xml:space="preserve">Strictly Necessary Cookies are set without Consent under §3(A) and §6;</w:t>
      </w:r>
    </w:p>
    <w:p>
      <w:pPr>
        <w:pStyle w:val="ListParagraph"/>
        <w:numPr>
          <w:ilvl w:val="0"/>
          <w:numId w:val="2"/>
        </w:numPr>
        <w:spacing w:after="80" w:line="280"/>
      </w:pPr>
      <w:r>
        <w:rPr>
          <w:rFonts w:ascii="Calibri" w:cs="Calibri" w:eastAsia="Calibri" w:hAnsi="Calibri"/>
          <w:sz w:val="22"/>
          <w:szCs w:val="22"/>
        </w:rPr>
        <w:t xml:space="preserve">You may withdraw Consent for any other category at any time under §9;</w:t>
      </w:r>
    </w:p>
    <w:p>
      <w:pPr>
        <w:pStyle w:val="ListParagraph"/>
        <w:numPr>
          <w:ilvl w:val="0"/>
          <w:numId w:val="2"/>
        </w:numPr>
        <w:spacing w:after="80" w:line="280"/>
      </w:pPr>
      <w:r>
        <w:rPr>
          <w:rFonts w:ascii="Calibri" w:cs="Calibri" w:eastAsia="Calibri" w:hAnsi="Calibri"/>
          <w:sz w:val="22"/>
          <w:szCs w:val="22"/>
        </w:rPr>
        <w:t xml:space="preserve">Your statutory rights under the DPDP Act, GDPR, UK GDPR, CCPA/CPRA, and LGPD are preserved as set out in §17.</w:t>
      </w:r>
    </w:p>
    <w:p>
      <w:pPr>
        <w:spacing w:after="120"/>
      </w:pPr>
      <w:r>
        <w:t xml:space="preserve"/>
      </w:r>
    </w:p>
    <w:p>
      <w:pPr>
        <w:spacing w:after="120" w:before="240"/>
        <w:jc w:val="center"/>
      </w:pPr>
      <w:r>
        <w:rPr>
          <w:rFonts w:ascii="Calibri" w:cs="Calibri" w:eastAsia="Calibri" w:hAnsi="Calibri"/>
          <w:i/>
          <w:iCs/>
          <w:sz w:val="22"/>
          <w:szCs w:val="22"/>
        </w:rPr>
        <w:t xml:space="preserve">— End of Cookie Policy —</w:t>
      </w:r>
    </w:p>
    <w:p>
      <w:pPr>
        <w:spacing w:after="60"/>
        <w:jc w:val="center"/>
      </w:pPr>
      <w:r>
        <w:rPr>
          <w:rFonts w:ascii="Calibri" w:cs="Calibri" w:eastAsia="Calibri" w:hAnsi="Calibri"/>
          <w:sz w:val="20"/>
          <w:szCs w:val="20"/>
        </w:rPr>
        <w:t xml:space="preserve">Sharde Media and Productions Pvt. Ltd. | CIN: U90009BR2023PTC062405 | privacy@riseupcreators.com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Cookie Policy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Cookie Policy v1.0</dc:title>
  <dc:creator>Sharde Media and Productions Pvt. Ltd.</dc:creator>
  <cp:lastModifiedBy>Un-named</cp:lastModifiedBy>
  <cp:revision>1</cp:revision>
  <dcterms:created xsi:type="dcterms:W3CDTF">2026-05-27T11:30:41.835Z</dcterms:created>
  <dcterms:modified xsi:type="dcterms:W3CDTF">2026-05-27T11:30:41.836Z</dcterms:modified>
</cp:coreProperties>
</file>

<file path=docProps/custom.xml><?xml version="1.0" encoding="utf-8"?>
<Properties xmlns="http://schemas.openxmlformats.org/officeDocument/2006/custom-properties" xmlns:vt="http://schemas.openxmlformats.org/officeDocument/2006/docPropsVTypes"/>
</file>