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rFonts w:ascii="Calibri" w:cs="Calibri" w:eastAsia="Calibri" w:hAnsi="Calibri"/>
          <w:b/>
          <w:bCs/>
          <w:sz w:val="20"/>
          <w:szCs w:val="20"/>
        </w:rPr>
        <w:t xml:space="preserve">RiseUp Creators — Payment &amp; Payout Terms   |   Sharde Media and Productions Pvt. Ltd.   |   RBI PA/PG Guidelines / Income Tax §194-O / CGST §52 / FEMA 1999</w:t>
      </w:r>
    </w:p>
    <w:p>
      <w:pPr>
        <w:spacing w:after="80" w:before="240"/>
        <w:jc w:val="left"/>
      </w:pPr>
      <w:r>
        <w:rPr>
          <w:rFonts w:ascii="Calibri" w:cs="Calibri" w:eastAsia="Calibri" w:hAnsi="Calibri"/>
          <w:b/>
          <w:bCs/>
          <w:color w:val="1F3864"/>
          <w:sz w:val="36"/>
          <w:szCs w:val="36"/>
        </w:rPr>
        <w:t xml:space="preserve">PAYMENT &amp; PAYOUT TERMS</w:t>
      </w:r>
    </w:p>
    <w:p>
      <w:pPr>
        <w:spacing w:after="120" w:line="300"/>
      </w:pPr>
      <w:r>
        <w:rPr>
          <w:rFonts w:ascii="Calibri" w:cs="Calibri" w:eastAsia="Calibri" w:hAnsi="Calibri"/>
          <w:sz w:val="22"/>
          <w:szCs w:val="22"/>
        </w:rPr>
        <w:t xml:space="preserve">RiseUp Creators Platform</w:t>
      </w:r>
    </w:p>
    <w:p>
      <w:pPr>
        <w:spacing w:after="120" w:line="300"/>
      </w:pPr>
      <w:r>
        <w:rPr>
          <w:rFonts w:ascii="Calibri" w:cs="Calibri" w:eastAsia="Calibri" w:hAnsi="Calibri"/>
          <w:b/>
          <w:bCs/>
          <w:sz w:val="22"/>
          <w:szCs w:val="22"/>
        </w:rPr>
        <w:t xml:space="preserve">Sharde Media and Productions Pvt. Ltd.</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F2F2F2" w:val="clear"/>
            <w:tcMar>
              <w:top w:type="dxa" w:w="160"/>
              <w:left w:type="dxa" w:w="200"/>
              <w:bottom w:type="dxa" w:w="160"/>
              <w:right w:type="dxa" w:w="200"/>
            </w:tcMar>
          </w:tcPr>
          <w:p>
            <w:pPr>
              <w:spacing w:after="100"/>
            </w:pPr>
            <w:r>
              <w:rPr>
                <w:rFonts w:ascii="Calibri" w:cs="Calibri" w:eastAsia="Calibri" w:hAnsi="Calibri"/>
                <w:b/>
                <w:bCs/>
                <w:sz w:val="22"/>
                <w:szCs w:val="22"/>
              </w:rPr>
              <w:t xml:space="preserve">Legal Entity &amp; Registration Details</w:t>
            </w:r>
          </w:p>
          <w:p>
            <w:pPr>
              <w:spacing w:after="40"/>
            </w:pPr>
            <w:r>
              <w:rPr>
                <w:rFonts w:ascii="Calibri" w:cs="Calibri" w:eastAsia="Calibri" w:hAnsi="Calibri"/>
                <w:sz w:val="22"/>
                <w:szCs w:val="22"/>
              </w:rPr>
              <w:t xml:space="preserve">Company Name: Sharde Media and Productions Pvt. Ltd.</w:t>
            </w:r>
          </w:p>
          <w:p>
            <w:pPr>
              <w:spacing w:after="40"/>
            </w:pPr>
            <w:r>
              <w:rPr>
                <w:rFonts w:ascii="Calibri" w:cs="Calibri" w:eastAsia="Calibri" w:hAnsi="Calibri"/>
                <w:sz w:val="22"/>
                <w:szCs w:val="22"/>
              </w:rPr>
              <w:t xml:space="preserve">CIN: U90009BR2023PTC062405</w:t>
            </w:r>
          </w:p>
          <w:p>
            <w:pPr>
              <w:spacing w:after="40"/>
            </w:pPr>
            <w:r>
              <w:rPr>
                <w:rFonts w:ascii="Calibri" w:cs="Calibri" w:eastAsia="Calibri" w:hAnsi="Calibri"/>
                <w:sz w:val="22"/>
                <w:szCs w:val="22"/>
              </w:rPr>
              <w:t xml:space="preserve">GSTIN: 10ABKCS5322D1ZU</w:t>
            </w:r>
          </w:p>
          <w:p>
            <w:pPr>
              <w:spacing w:after="40"/>
            </w:pPr>
            <w:r>
              <w:rPr>
                <w:rFonts w:ascii="Calibri" w:cs="Calibri" w:eastAsia="Calibri" w:hAnsi="Calibri"/>
                <w:sz w:val="22"/>
                <w:szCs w:val="22"/>
              </w:rPr>
              <w:t xml:space="preserve">Registered Office: Jagriti Nagar, Ashiyana, Patna Aerodome Phulwari, Patna — 800014, Bihar, India</w:t>
            </w:r>
          </w:p>
          <w:p>
            <w:pPr>
              <w:spacing w:after="40"/>
            </w:pPr>
            <w:r>
              <w:rPr>
                <w:rFonts w:ascii="Calibri" w:cs="Calibri" w:eastAsia="Calibri" w:hAnsi="Calibri"/>
                <w:sz w:val="22"/>
                <w:szCs w:val="22"/>
              </w:rPr>
              <w:t xml:space="preserve">Website: www.riseupcreators.com  │  Payments Support: payments@riseupcreators.com  │  Grievance: grievance@riseupcreators.com</w:t>
            </w:r>
          </w:p>
        </w:tc>
      </w:tr>
    </w:tbl>
    <w:p>
      <w:pPr>
        <w:spacing w:after="120"/>
      </w:pPr>
      <w:r>
        <w:t xml:space="preserve"/>
      </w:r>
    </w:p>
    <w:p>
      <w:pPr>
        <w:spacing w:after="120" w:line="300"/>
      </w:pPr>
      <w:r>
        <w:rPr>
          <w:rFonts w:ascii="Calibri" w:cs="Calibri" w:eastAsia="Calibri" w:hAnsi="Calibri"/>
          <w:sz w:val="22"/>
          <w:szCs w:val="22"/>
        </w:rPr>
        <w:t xml:space="preserve">Effective Date: [Insert Date]   |   Version: 1.0   |   Last Reviewed: [Month Year]</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EAF1F8" w:val="clear"/>
            <w:tcMar>
              <w:top w:type="dxa" w:w="160"/>
              <w:left w:type="dxa" w:w="200"/>
              <w:bottom w:type="dxa" w:w="160"/>
              <w:right w:type="dxa" w:w="200"/>
            </w:tcMar>
          </w:tcPr>
          <w:p>
            <w:pPr>
              <w:spacing w:after="80"/>
            </w:pPr>
            <w:r>
              <w:rPr>
                <w:rFonts w:ascii="Calibri" w:cs="Calibri" w:eastAsia="Calibri" w:hAnsi="Calibri"/>
                <w:b/>
                <w:bCs/>
                <w:sz w:val="22"/>
                <w:szCs w:val="22"/>
              </w:rPr>
              <w:t xml:space="preserve">Scope, Binding Nature, and Critical Status Clarification</w:t>
            </w:r>
          </w:p>
          <w:p>
            <w:pPr>
              <w:spacing w:after="80"/>
            </w:pPr>
            <w:r>
              <w:rPr>
                <w:rFonts w:ascii="Calibri" w:cs="Calibri" w:eastAsia="Calibri" w:hAnsi="Calibri"/>
                <w:sz w:val="22"/>
                <w:szCs w:val="22"/>
              </w:rPr>
              <w:t xml:space="preserve">These Payment &amp; Payout Terms operationalise Section 12 of the Terms of Service and form part of the Agreement. They govern all payments by Users (Viewers, Buyers, Advertisers, Subscribers, Supporters) and all payouts to Recipients (Creators, Merchants, Affiliates, Event Organizers). They must be read together with the Terms of Service, Privacy Policy, Creator Agreement, Merchant Agreement, Advertising Policy, Affiliate Program Terms, and Events Terms.</w:t>
            </w:r>
          </w:p>
          <w:p>
            <w:pPr>
              <w:spacing w:after="80"/>
            </w:pPr>
            <w:r>
              <w:rPr>
                <w:rFonts w:ascii="Calibri" w:cs="Calibri" w:eastAsia="Calibri" w:hAnsi="Calibri"/>
                <w:b/>
                <w:bCs/>
                <w:sz w:val="22"/>
                <w:szCs w:val="22"/>
              </w:rPr>
              <w:t xml:space="preserve">CRITICAL STATUS CLARIFICATION: The Company is NOT a bank, payment system operator, payment aggregator, payment gateway, or financial institution. The Company does not hold, pool, or settle User funds in its own right. All collection, settlement, escrow, and disbursement of funds is performed exclusively by payment aggregators and payment gateways authorised by the Reserve Bank of India under the Payment and Settlement Systems Act, 2007. The Company facilitates and instructs these authorised entities and accounts for the resulting revenue.</w:t>
            </w:r>
          </w:p>
          <w:p>
            <w:pPr>
              <w:spacing w:after="0"/>
            </w:pPr>
            <w:r>
              <w:rPr>
                <w:rFonts w:ascii="Calibri" w:cs="Calibri" w:eastAsia="Calibri" w:hAnsi="Calibri"/>
                <w:sz w:val="22"/>
                <w:szCs w:val="22"/>
              </w:rPr>
              <w:t xml:space="preserve">Commercial figures are marked [CONFIRM] pending final business sign-off.</w:t>
            </w:r>
          </w:p>
        </w:tc>
      </w:tr>
    </w:tbl>
    <w:p>
      <w:pPr>
        <w:spacing w:after="120"/>
      </w:pPr>
      <w:r>
        <w:t xml:space="preserve"/>
      </w:r>
    </w:p>
    <w:p>
      <w:pPr>
        <w:pStyle w:val="Heading1"/>
        <w:spacing w:after="180" w:before="360" w:line="300"/>
      </w:pPr>
      <w:r>
        <w:rPr>
          <w:rFonts w:ascii="Calibri" w:cs="Calibri" w:eastAsia="Calibri" w:hAnsi="Calibri"/>
          <w:b/>
          <w:bCs/>
          <w:color w:val="1F3864"/>
          <w:sz w:val="30"/>
          <w:szCs w:val="30"/>
        </w:rPr>
        <w:t xml:space="preserve">1. Purpose, Philosophy, and Interpretive Principles</w:t>
      </w:r>
    </w:p>
    <w:p>
      <w:pPr>
        <w:pStyle w:val="Heading2"/>
        <w:spacing w:after="120" w:before="240" w:line="300"/>
      </w:pPr>
      <w:r>
        <w:rPr>
          <w:rFonts w:ascii="Calibri" w:cs="Calibri" w:eastAsia="Calibri" w:hAnsi="Calibri"/>
          <w:b/>
          <w:bCs/>
          <w:color w:val="2E5496"/>
          <w:sz w:val="26"/>
          <w:szCs w:val="26"/>
        </w:rPr>
        <w:t xml:space="preserve">A. Purpose</w:t>
      </w:r>
    </w:p>
    <w:p>
      <w:pPr>
        <w:spacing w:after="120" w:line="300"/>
      </w:pPr>
      <w:r>
        <w:rPr>
          <w:rFonts w:ascii="Calibri" w:cs="Calibri" w:eastAsia="Calibri" w:hAnsi="Calibri"/>
          <w:sz w:val="22"/>
          <w:szCs w:val="22"/>
        </w:rPr>
        <w:t xml:space="preserve">These Payment &amp; Payout Terms are designed to:</w:t>
      </w:r>
    </w:p>
    <w:p>
      <w:pPr>
        <w:pStyle w:val="ListParagraph"/>
        <w:numPr>
          <w:ilvl w:val="0"/>
          <w:numId w:val="2"/>
        </w:numPr>
        <w:spacing w:after="80" w:line="280"/>
      </w:pPr>
      <w:r>
        <w:rPr>
          <w:rFonts w:ascii="Calibri" w:cs="Calibri" w:eastAsia="Calibri" w:hAnsi="Calibri"/>
          <w:sz w:val="22"/>
          <w:szCs w:val="22"/>
        </w:rPr>
        <w:t xml:space="preserve">Govern how Users pay for goods, services, subscriptions, tips, tickets, advertising, and other paid features on the Platform;</w:t>
      </w:r>
    </w:p>
    <w:p>
      <w:pPr>
        <w:pStyle w:val="ListParagraph"/>
        <w:numPr>
          <w:ilvl w:val="0"/>
          <w:numId w:val="2"/>
        </w:numPr>
        <w:spacing w:after="80" w:line="280"/>
      </w:pPr>
      <w:r>
        <w:rPr>
          <w:rFonts w:ascii="Calibri" w:cs="Calibri" w:eastAsia="Calibri" w:hAnsi="Calibri"/>
          <w:sz w:val="22"/>
          <w:szCs w:val="22"/>
        </w:rPr>
        <w:t xml:space="preserve">Govern how Recipients receive payouts of cleared earnings;</w:t>
      </w:r>
    </w:p>
    <w:p>
      <w:pPr>
        <w:pStyle w:val="ListParagraph"/>
        <w:numPr>
          <w:ilvl w:val="0"/>
          <w:numId w:val="2"/>
        </w:numPr>
        <w:spacing w:after="80" w:line="280"/>
      </w:pPr>
      <w:r>
        <w:rPr>
          <w:rFonts w:ascii="Calibri" w:cs="Calibri" w:eastAsia="Calibri" w:hAnsi="Calibri"/>
          <w:sz w:val="22"/>
          <w:szCs w:val="22"/>
        </w:rPr>
        <w:t xml:space="preserve">Implement the Company's status as an intermediary that instructs RBI-authorised payment entities rather than as a payment system operator itself;</w:t>
      </w:r>
    </w:p>
    <w:p>
      <w:pPr>
        <w:pStyle w:val="ListParagraph"/>
        <w:numPr>
          <w:ilvl w:val="0"/>
          <w:numId w:val="2"/>
        </w:numPr>
        <w:spacing w:after="80" w:line="280"/>
      </w:pPr>
      <w:r>
        <w:rPr>
          <w:rFonts w:ascii="Calibri" w:cs="Calibri" w:eastAsia="Calibri" w:hAnsi="Calibri"/>
          <w:sz w:val="22"/>
          <w:szCs w:val="22"/>
        </w:rPr>
        <w:t xml:space="preserve">Discharge the Company's statutory tax-collection obligations (TDS under Section 194-O of the Income Tax Act, 1961; TCS under Section 52 of the CGST Act, 2017);</w:t>
      </w:r>
    </w:p>
    <w:p>
      <w:pPr>
        <w:pStyle w:val="ListParagraph"/>
        <w:numPr>
          <w:ilvl w:val="0"/>
          <w:numId w:val="2"/>
        </w:numPr>
        <w:spacing w:after="80" w:line="280"/>
      </w:pPr>
      <w:r>
        <w:rPr>
          <w:rFonts w:ascii="Calibri" w:cs="Calibri" w:eastAsia="Calibri" w:hAnsi="Calibri"/>
          <w:sz w:val="22"/>
          <w:szCs w:val="22"/>
        </w:rPr>
        <w:t xml:space="preserve">Implement AML/CFT, KYC, and sanctions-screening obligations under the Prevention of Money Laundering Act, 2002 and RBI Master Directions;</w:t>
      </w:r>
    </w:p>
    <w:p>
      <w:pPr>
        <w:pStyle w:val="ListParagraph"/>
        <w:numPr>
          <w:ilvl w:val="0"/>
          <w:numId w:val="2"/>
        </w:numPr>
        <w:spacing w:after="80" w:line="280"/>
      </w:pPr>
      <w:r>
        <w:rPr>
          <w:rFonts w:ascii="Calibri" w:cs="Calibri" w:eastAsia="Calibri" w:hAnsi="Calibri"/>
          <w:sz w:val="22"/>
          <w:szCs w:val="22"/>
        </w:rPr>
        <w:t xml:space="preserve">Implement FEMA, 1999 requirements for cross-border collections and payouts;</w:t>
      </w:r>
    </w:p>
    <w:p>
      <w:pPr>
        <w:pStyle w:val="ListParagraph"/>
        <w:numPr>
          <w:ilvl w:val="0"/>
          <w:numId w:val="2"/>
        </w:numPr>
        <w:spacing w:after="80" w:line="280"/>
      </w:pPr>
      <w:r>
        <w:rPr>
          <w:rFonts w:ascii="Calibri" w:cs="Calibri" w:eastAsia="Calibri" w:hAnsi="Calibri"/>
          <w:sz w:val="22"/>
          <w:szCs w:val="22"/>
        </w:rPr>
        <w:t xml:space="preserve">Set out chargeback, refund, hold, and negative-balance mechanics transparently.</w:t>
      </w:r>
    </w:p>
    <w:p>
      <w:pPr>
        <w:pStyle w:val="Heading2"/>
        <w:spacing w:after="120" w:before="240" w:line="300"/>
      </w:pPr>
      <w:r>
        <w:rPr>
          <w:rFonts w:ascii="Calibri" w:cs="Calibri" w:eastAsia="Calibri" w:hAnsi="Calibri"/>
          <w:b/>
          <w:bCs/>
          <w:color w:val="2E5496"/>
          <w:sz w:val="26"/>
          <w:szCs w:val="26"/>
        </w:rPr>
        <w:t xml:space="preserve">B. Philosophy</w:t>
      </w:r>
    </w:p>
    <w:p>
      <w:pPr>
        <w:spacing w:after="120" w:line="300"/>
      </w:pPr>
      <w:r>
        <w:rPr>
          <w:rFonts w:ascii="Calibri" w:cs="Calibri" w:eastAsia="Calibri" w:hAnsi="Calibri"/>
          <w:sz w:val="22"/>
          <w:szCs w:val="22"/>
        </w:rPr>
        <w:t xml:space="preserve">Payments must be secure, lawful, transparent, and traceable. Recipients must be able to understand and verify how their earnings are computed, held, and disbursed. The Company allocates payment risk (chargebacks, fraud, reversals) to the party responsible for the underlying transaction, with disclosed holds rather than discretionary withholding.</w:t>
      </w:r>
    </w:p>
    <w:p>
      <w:pPr>
        <w:pStyle w:val="Heading2"/>
        <w:spacing w:after="120" w:before="240" w:line="300"/>
      </w:pPr>
      <w:r>
        <w:rPr>
          <w:rFonts w:ascii="Calibri" w:cs="Calibri" w:eastAsia="Calibri" w:hAnsi="Calibri"/>
          <w:b/>
          <w:bCs/>
          <w:color w:val="2E5496"/>
          <w:sz w:val="26"/>
          <w:szCs w:val="26"/>
        </w:rPr>
        <w:t xml:space="preserve">C. Interpretive Principles</w:t>
      </w:r>
    </w:p>
    <w:p>
      <w:pPr>
        <w:pStyle w:val="ListParagraph"/>
        <w:numPr>
          <w:ilvl w:val="0"/>
          <w:numId w:val="2"/>
        </w:numPr>
        <w:spacing w:after="80" w:line="280"/>
      </w:pPr>
      <w:r>
        <w:rPr>
          <w:rFonts w:ascii="Calibri" w:cs="Calibri" w:eastAsia="Calibri" w:hAnsi="Calibri"/>
          <w:b/>
          <w:bCs/>
          <w:sz w:val="22"/>
          <w:szCs w:val="22"/>
        </w:rPr>
        <w:t xml:space="preserve">RBI-authorised entities handle funds. </w:t>
      </w:r>
      <w:r>
        <w:rPr>
          <w:rFonts w:ascii="Calibri" w:cs="Calibri" w:eastAsia="Calibri" w:hAnsi="Calibri"/>
          <w:sz w:val="22"/>
          <w:szCs w:val="22"/>
        </w:rPr>
        <w:t xml:space="preserve">The Company instructs authorised payment aggregators/gateways; it does not itself operate a payment system.</w:t>
      </w:r>
    </w:p>
    <w:p>
      <w:pPr>
        <w:pStyle w:val="ListParagraph"/>
        <w:numPr>
          <w:ilvl w:val="0"/>
          <w:numId w:val="2"/>
        </w:numPr>
        <w:spacing w:after="80" w:line="280"/>
      </w:pPr>
      <w:r>
        <w:rPr>
          <w:rFonts w:ascii="Calibri" w:cs="Calibri" w:eastAsia="Calibri" w:hAnsi="Calibri"/>
          <w:b/>
          <w:bCs/>
          <w:sz w:val="22"/>
          <w:szCs w:val="22"/>
        </w:rPr>
        <w:t xml:space="preserve">Revenue is provisional until cleared. </w:t>
      </w:r>
      <w:r>
        <w:rPr>
          <w:rFonts w:ascii="Calibri" w:cs="Calibri" w:eastAsia="Calibri" w:hAnsi="Calibri"/>
          <w:sz w:val="22"/>
          <w:szCs w:val="22"/>
        </w:rPr>
        <w:t xml:space="preserve">Amounts are provisional until the applicable chargeback, refund, and fraud-review windows close.</w:t>
      </w:r>
    </w:p>
    <w:p>
      <w:pPr>
        <w:pStyle w:val="ListParagraph"/>
        <w:numPr>
          <w:ilvl w:val="0"/>
          <w:numId w:val="2"/>
        </w:numPr>
        <w:spacing w:after="80" w:line="280"/>
      </w:pPr>
      <w:r>
        <w:rPr>
          <w:rFonts w:ascii="Calibri" w:cs="Calibri" w:eastAsia="Calibri" w:hAnsi="Calibri"/>
          <w:b/>
          <w:bCs/>
          <w:sz w:val="22"/>
          <w:szCs w:val="22"/>
        </w:rPr>
        <w:t xml:space="preserve">Holds are disclosed, not discretionary. </w:t>
      </w:r>
      <w:r>
        <w:rPr>
          <w:rFonts w:ascii="Calibri" w:cs="Calibri" w:eastAsia="Calibri" w:hAnsi="Calibri"/>
          <w:sz w:val="22"/>
          <w:szCs w:val="22"/>
        </w:rPr>
        <w:t xml:space="preserve">Hold Periods are set out in this document; the Company does not withhold cleared funds except as disclosed or as required by law.</w:t>
      </w:r>
    </w:p>
    <w:p>
      <w:pPr>
        <w:pStyle w:val="ListParagraph"/>
        <w:numPr>
          <w:ilvl w:val="0"/>
          <w:numId w:val="2"/>
        </w:numPr>
        <w:spacing w:after="80" w:line="280"/>
      </w:pPr>
      <w:r>
        <w:rPr>
          <w:rFonts w:ascii="Calibri" w:cs="Calibri" w:eastAsia="Calibri" w:hAnsi="Calibri"/>
          <w:b/>
          <w:bCs/>
          <w:sz w:val="22"/>
          <w:szCs w:val="22"/>
        </w:rPr>
        <w:t xml:space="preserve">Tax is collected as the law requires. </w:t>
      </w:r>
      <w:r>
        <w:rPr>
          <w:rFonts w:ascii="Calibri" w:cs="Calibri" w:eastAsia="Calibri" w:hAnsi="Calibri"/>
          <w:sz w:val="22"/>
          <w:szCs w:val="22"/>
        </w:rPr>
        <w:t xml:space="preserve">TDS, TCS, GST, and Equalisation Levy are applied strictly per statute.</w:t>
      </w:r>
    </w:p>
    <w:p>
      <w:pPr>
        <w:pStyle w:val="ListParagraph"/>
        <w:numPr>
          <w:ilvl w:val="0"/>
          <w:numId w:val="2"/>
        </w:numPr>
        <w:spacing w:after="80" w:line="280"/>
      </w:pPr>
      <w:r>
        <w:rPr>
          <w:rFonts w:ascii="Calibri" w:cs="Calibri" w:eastAsia="Calibri" w:hAnsi="Calibri"/>
          <w:b/>
          <w:bCs/>
          <w:sz w:val="22"/>
          <w:szCs w:val="22"/>
        </w:rPr>
        <w:t xml:space="preserve">Cross-border compliance is mandatory. </w:t>
      </w:r>
      <w:r>
        <w:rPr>
          <w:rFonts w:ascii="Calibri" w:cs="Calibri" w:eastAsia="Calibri" w:hAnsi="Calibri"/>
          <w:sz w:val="22"/>
          <w:szCs w:val="22"/>
        </w:rPr>
        <w:t xml:space="preserve">All inbound and outbound foreign-exchange flows comply with FEMA, 1999 and RBI directions.</w:t>
      </w:r>
    </w:p>
    <w:p>
      <w:pPr>
        <w:pStyle w:val="ListParagraph"/>
        <w:numPr>
          <w:ilvl w:val="0"/>
          <w:numId w:val="2"/>
        </w:numPr>
        <w:spacing w:after="80" w:line="280"/>
      </w:pPr>
      <w:r>
        <w:rPr>
          <w:rFonts w:ascii="Calibri" w:cs="Calibri" w:eastAsia="Calibri" w:hAnsi="Calibri"/>
          <w:b/>
          <w:bCs/>
          <w:sz w:val="22"/>
          <w:szCs w:val="22"/>
        </w:rPr>
        <w:t xml:space="preserve">Statutory rights preserved. </w:t>
      </w:r>
      <w:r>
        <w:rPr>
          <w:rFonts w:ascii="Calibri" w:cs="Calibri" w:eastAsia="Calibri" w:hAnsi="Calibri"/>
          <w:sz w:val="22"/>
          <w:szCs w:val="22"/>
        </w:rPr>
        <w:t xml:space="preserve">Consumer-protection and payment-grievance rights, including escalation to the RBI Ombudsman for Digital Transactions, are preserved.</w:t>
      </w:r>
    </w:p>
    <w:p>
      <w:pPr>
        <w:pStyle w:val="Heading1"/>
        <w:spacing w:after="180" w:before="360" w:line="300"/>
      </w:pPr>
      <w:r>
        <w:rPr>
          <w:rFonts w:ascii="Calibri" w:cs="Calibri" w:eastAsia="Calibri" w:hAnsi="Calibri"/>
          <w:b/>
          <w:bCs/>
          <w:color w:val="1F3864"/>
          <w:sz w:val="30"/>
          <w:szCs w:val="30"/>
        </w:rPr>
        <w:t xml:space="preserve">2. Definitions</w:t>
      </w:r>
    </w:p>
    <w:p>
      <w:pPr>
        <w:spacing w:after="120" w:line="300"/>
      </w:pPr>
      <w:r>
        <w:rPr>
          <w:rFonts w:ascii="Calibri" w:cs="Calibri" w:eastAsia="Calibri" w:hAnsi="Calibri"/>
          <w:sz w:val="22"/>
          <w:szCs w:val="22"/>
        </w:rPr>
        <w:t xml:space="preserve">In these Payment &amp; Payout Terms, terms not defined here have the meanings given in the Terms of Service, Creator Agreement, Merchant Agreement, Advertising Policy, Affiliate Program Terms, and Events Terms. The following terms apply specifically:</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Authorised Payment Partner</w:t>
      </w:r>
      <w:r>
        <w:rPr>
          <w:rFonts w:ascii="Calibri" w:cs="Calibri" w:eastAsia="Calibri" w:hAnsi="Calibri"/>
          <w:sz w:val="22"/>
          <w:szCs w:val="22"/>
        </w:rPr>
        <w:t xml:space="preserve">” means </w:t>
      </w:r>
      <w:r>
        <w:rPr>
          <w:rFonts w:ascii="Calibri" w:cs="Calibri" w:eastAsia="Calibri" w:hAnsi="Calibri"/>
          <w:sz w:val="22"/>
          <w:szCs w:val="22"/>
        </w:rPr>
        <w:t xml:space="preserve">a payment aggregator or payment gateway authorised by the Reserve Bank of India under the Payment and Settlement Systems Act, 2007, engaged by the Company to collect, settle, and disburse funds.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Available Balance</w:t>
      </w:r>
      <w:r>
        <w:rPr>
          <w:rFonts w:ascii="Calibri" w:cs="Calibri" w:eastAsia="Calibri" w:hAnsi="Calibri"/>
          <w:sz w:val="22"/>
          <w:szCs w:val="22"/>
        </w:rPr>
        <w:t xml:space="preserve">” means </w:t>
      </w:r>
      <w:r>
        <w:rPr>
          <w:rFonts w:ascii="Calibri" w:cs="Calibri" w:eastAsia="Calibri" w:hAnsi="Calibri"/>
          <w:sz w:val="22"/>
          <w:szCs w:val="22"/>
        </w:rPr>
        <w:t xml:space="preserve">the cleared portion of a Recipient's earnings, net of Holds, reversals, deductions, and applicable taxes, eligible for Payout.</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Buyer” or “Payer</w:t>
      </w:r>
      <w:r>
        <w:rPr>
          <w:rFonts w:ascii="Calibri" w:cs="Calibri" w:eastAsia="Calibri" w:hAnsi="Calibri"/>
          <w:sz w:val="22"/>
          <w:szCs w:val="22"/>
        </w:rPr>
        <w:t xml:space="preserve">” means </w:t>
      </w:r>
      <w:r>
        <w:rPr>
          <w:rFonts w:ascii="Calibri" w:cs="Calibri" w:eastAsia="Calibri" w:hAnsi="Calibri"/>
          <w:sz w:val="22"/>
          <w:szCs w:val="22"/>
        </w:rPr>
        <w:t xml:space="preserve">any User making a payment on the Platform.</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Chargeback</w:t>
      </w:r>
      <w:r>
        <w:rPr>
          <w:rFonts w:ascii="Calibri" w:cs="Calibri" w:eastAsia="Calibri" w:hAnsi="Calibri"/>
          <w:sz w:val="22"/>
          <w:szCs w:val="22"/>
        </w:rPr>
        <w:t xml:space="preserve">” means </w:t>
      </w:r>
      <w:r>
        <w:rPr>
          <w:rFonts w:ascii="Calibri" w:cs="Calibri" w:eastAsia="Calibri" w:hAnsi="Calibri"/>
          <w:sz w:val="22"/>
          <w:szCs w:val="22"/>
        </w:rPr>
        <w:t xml:space="preserve">a reversal of a payment initiated by a Payer, card issuer, bank, or payment system, including disputes and fraud-related reversals.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Hold Period</w:t>
      </w:r>
      <w:r>
        <w:rPr>
          <w:rFonts w:ascii="Calibri" w:cs="Calibri" w:eastAsia="Calibri" w:hAnsi="Calibri"/>
          <w:sz w:val="22"/>
          <w:szCs w:val="22"/>
        </w:rPr>
        <w:t xml:space="preserve">” means </w:t>
      </w:r>
      <w:r>
        <w:rPr>
          <w:rFonts w:ascii="Calibri" w:cs="Calibri" w:eastAsia="Calibri" w:hAnsi="Calibri"/>
          <w:sz w:val="22"/>
          <w:szCs w:val="22"/>
        </w:rPr>
        <w:t xml:space="preserve">the period during which payout of provisional earnings is withheld to cover chargeback, refund, and fraud-review risk.</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KYC</w:t>
      </w:r>
      <w:r>
        <w:rPr>
          <w:rFonts w:ascii="Calibri" w:cs="Calibri" w:eastAsia="Calibri" w:hAnsi="Calibri"/>
          <w:sz w:val="22"/>
          <w:szCs w:val="22"/>
        </w:rPr>
        <w:t xml:space="preserve">” means </w:t>
      </w:r>
      <w:r>
        <w:rPr>
          <w:rFonts w:ascii="Calibri" w:cs="Calibri" w:eastAsia="Calibri" w:hAnsi="Calibri"/>
          <w:sz w:val="22"/>
          <w:szCs w:val="22"/>
        </w:rPr>
        <w:t xml:space="preserve">Know Your Customer verification under the PMLA and RBI Master Direction on KYC.</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Nodal / Escrow Account</w:t>
      </w:r>
      <w:r>
        <w:rPr>
          <w:rFonts w:ascii="Calibri" w:cs="Calibri" w:eastAsia="Calibri" w:hAnsi="Calibri"/>
          <w:sz w:val="22"/>
          <w:szCs w:val="22"/>
        </w:rPr>
        <w:t xml:space="preserve">” means </w:t>
      </w:r>
      <w:r>
        <w:rPr>
          <w:rFonts w:ascii="Calibri" w:cs="Calibri" w:eastAsia="Calibri" w:hAnsi="Calibri"/>
          <w:sz w:val="22"/>
          <w:szCs w:val="22"/>
        </w:rPr>
        <w:t xml:space="preserve">the account maintained by the Authorised Payment Partner in compliance with RBI PA/PG Guidelines into which collections are deposited and from which settlements are made; the Company does not operate this account in its own right.</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Payout</w:t>
      </w:r>
      <w:r>
        <w:rPr>
          <w:rFonts w:ascii="Calibri" w:cs="Calibri" w:eastAsia="Calibri" w:hAnsi="Calibri"/>
          <w:sz w:val="22"/>
          <w:szCs w:val="22"/>
        </w:rPr>
        <w:t xml:space="preserve">” means </w:t>
      </w:r>
      <w:r>
        <w:rPr>
          <w:rFonts w:ascii="Calibri" w:cs="Calibri" w:eastAsia="Calibri" w:hAnsi="Calibri"/>
          <w:sz w:val="22"/>
          <w:szCs w:val="22"/>
        </w:rPr>
        <w:t xml:space="preserve">the disbursement of a Recipient's Available Balance to the Recipient's verified payout method.</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Provisional Earnings</w:t>
      </w:r>
      <w:r>
        <w:rPr>
          <w:rFonts w:ascii="Calibri" w:cs="Calibri" w:eastAsia="Calibri" w:hAnsi="Calibri"/>
          <w:sz w:val="22"/>
          <w:szCs w:val="22"/>
        </w:rPr>
        <w:t xml:space="preserve">” means </w:t>
      </w:r>
      <w:r>
        <w:rPr>
          <w:rFonts w:ascii="Calibri" w:cs="Calibri" w:eastAsia="Calibri" w:hAnsi="Calibri"/>
          <w:sz w:val="22"/>
          <w:szCs w:val="22"/>
        </w:rPr>
        <w:t xml:space="preserve">earnings credited to a Recipient that have not yet cleared the applicable chargeback, refund, and fraud-review windows.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Recipient</w:t>
      </w:r>
      <w:r>
        <w:rPr>
          <w:rFonts w:ascii="Calibri" w:cs="Calibri" w:eastAsia="Calibri" w:hAnsi="Calibri"/>
          <w:sz w:val="22"/>
          <w:szCs w:val="22"/>
        </w:rPr>
        <w:t xml:space="preserve">” means </w:t>
      </w:r>
      <w:r>
        <w:rPr>
          <w:rFonts w:ascii="Calibri" w:cs="Calibri" w:eastAsia="Calibri" w:hAnsi="Calibri"/>
          <w:sz w:val="22"/>
          <w:szCs w:val="22"/>
        </w:rPr>
        <w:t xml:space="preserve">a Creator, Merchant, Affiliate, or Event Organizer entitled to receive payouts.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Settlement</w:t>
      </w:r>
      <w:r>
        <w:rPr>
          <w:rFonts w:ascii="Calibri" w:cs="Calibri" w:eastAsia="Calibri" w:hAnsi="Calibri"/>
          <w:sz w:val="22"/>
          <w:szCs w:val="22"/>
        </w:rPr>
        <w:t xml:space="preserve">” means </w:t>
      </w:r>
      <w:r>
        <w:rPr>
          <w:rFonts w:ascii="Calibri" w:cs="Calibri" w:eastAsia="Calibri" w:hAnsi="Calibri"/>
          <w:sz w:val="22"/>
          <w:szCs w:val="22"/>
        </w:rPr>
        <w:t xml:space="preserve">the transfer of collected funds from the Nodal/Escrow Account in accordance with the Company's instructions and the Authorised Payment Partner's terms.</w:t>
      </w:r>
    </w:p>
    <w:p>
      <w:pPr>
        <w:pStyle w:val="Heading1"/>
        <w:spacing w:after="180" w:before="360" w:line="300"/>
      </w:pPr>
      <w:r>
        <w:rPr>
          <w:rFonts w:ascii="Calibri" w:cs="Calibri" w:eastAsia="Calibri" w:hAnsi="Calibri"/>
          <w:b/>
          <w:bCs/>
          <w:color w:val="1F3864"/>
          <w:sz w:val="30"/>
          <w:szCs w:val="30"/>
        </w:rPr>
        <w:t xml:space="preserve">3. Role of the Company and Authorised Payment Partners</w:t>
      </w:r>
    </w:p>
    <w:p>
      <w:pPr>
        <w:pStyle w:val="Heading2"/>
        <w:spacing w:after="120" w:before="240" w:line="300"/>
      </w:pPr>
      <w:r>
        <w:rPr>
          <w:rFonts w:ascii="Calibri" w:cs="Calibri" w:eastAsia="Calibri" w:hAnsi="Calibri"/>
          <w:b/>
          <w:bCs/>
          <w:color w:val="2E5496"/>
          <w:sz w:val="26"/>
          <w:szCs w:val="26"/>
        </w:rPr>
        <w:t xml:space="preserve">A. The Company Is Not a Payment System Operator</w:t>
      </w:r>
    </w:p>
    <w:p>
      <w:pPr>
        <w:spacing w:after="120" w:line="300"/>
      </w:pPr>
      <w:r>
        <w:rPr>
          <w:rFonts w:ascii="Calibri" w:cs="Calibri" w:eastAsia="Calibri" w:hAnsi="Calibri"/>
          <w:sz w:val="22"/>
          <w:szCs w:val="22"/>
        </w:rPr>
        <w:t xml:space="preserve">The Company does not operate a payment system, does not require authorisation under the Payment and Settlement Systems Act, 2007 as a payment system operator, and does not hold User funds in its own bank accounts as a pooled payment float. The Company:</w:t>
      </w:r>
    </w:p>
    <w:p>
      <w:pPr>
        <w:pStyle w:val="ListParagraph"/>
        <w:numPr>
          <w:ilvl w:val="0"/>
          <w:numId w:val="2"/>
        </w:numPr>
        <w:spacing w:after="80" w:line="280"/>
      </w:pPr>
      <w:r>
        <w:rPr>
          <w:rFonts w:ascii="Calibri" w:cs="Calibri" w:eastAsia="Calibri" w:hAnsi="Calibri"/>
          <w:sz w:val="22"/>
          <w:szCs w:val="22"/>
        </w:rPr>
        <w:t xml:space="preserve">Engages Authorised Payment Partners to collect payments from Payers;</w:t>
      </w:r>
    </w:p>
    <w:p>
      <w:pPr>
        <w:pStyle w:val="ListParagraph"/>
        <w:numPr>
          <w:ilvl w:val="0"/>
          <w:numId w:val="2"/>
        </w:numPr>
        <w:spacing w:after="80" w:line="280"/>
      </w:pPr>
      <w:r>
        <w:rPr>
          <w:rFonts w:ascii="Calibri" w:cs="Calibri" w:eastAsia="Calibri" w:hAnsi="Calibri"/>
          <w:sz w:val="22"/>
          <w:szCs w:val="22"/>
        </w:rPr>
        <w:t xml:space="preserve">Instructs Authorised Payment Partners to settle and disburse funds;</w:t>
      </w:r>
    </w:p>
    <w:p>
      <w:pPr>
        <w:pStyle w:val="ListParagraph"/>
        <w:numPr>
          <w:ilvl w:val="0"/>
          <w:numId w:val="2"/>
        </w:numPr>
        <w:spacing w:after="80" w:line="280"/>
      </w:pPr>
      <w:r>
        <w:rPr>
          <w:rFonts w:ascii="Calibri" w:cs="Calibri" w:eastAsia="Calibri" w:hAnsi="Calibri"/>
          <w:sz w:val="22"/>
          <w:szCs w:val="22"/>
        </w:rPr>
        <w:t xml:space="preserve">Computes revenue, deductions, taxes, and Recipient entitlements;</w:t>
      </w:r>
    </w:p>
    <w:p>
      <w:pPr>
        <w:pStyle w:val="ListParagraph"/>
        <w:numPr>
          <w:ilvl w:val="0"/>
          <w:numId w:val="2"/>
        </w:numPr>
        <w:spacing w:after="80" w:line="280"/>
      </w:pPr>
      <w:r>
        <w:rPr>
          <w:rFonts w:ascii="Calibri" w:cs="Calibri" w:eastAsia="Calibri" w:hAnsi="Calibri"/>
          <w:sz w:val="22"/>
          <w:szCs w:val="22"/>
        </w:rPr>
        <w:t xml:space="preserve">Maintains records of transactions and entitlements.</w:t>
      </w:r>
    </w:p>
    <w:p>
      <w:pPr>
        <w:pStyle w:val="Heading2"/>
        <w:spacing w:after="120" w:before="240" w:line="300"/>
      </w:pPr>
      <w:r>
        <w:rPr>
          <w:rFonts w:ascii="Calibri" w:cs="Calibri" w:eastAsia="Calibri" w:hAnsi="Calibri"/>
          <w:b/>
          <w:bCs/>
          <w:color w:val="2E5496"/>
          <w:sz w:val="26"/>
          <w:szCs w:val="26"/>
        </w:rPr>
        <w:t xml:space="preserve">B. Authorised Payment Partners</w:t>
      </w:r>
    </w:p>
    <w:p>
      <w:pPr>
        <w:spacing w:after="120" w:line="300"/>
      </w:pPr>
      <w:r>
        <w:rPr>
          <w:rFonts w:ascii="Calibri" w:cs="Calibri" w:eastAsia="Calibri" w:hAnsi="Calibri"/>
          <w:sz w:val="22"/>
          <w:szCs w:val="22"/>
        </w:rPr>
        <w:t xml:space="preserve">All collection, custody (in Nodal/Escrow Accounts), settlement, and disbursement of funds is performed by Authorised Payment Partners in compliance with:</w:t>
      </w:r>
    </w:p>
    <w:p>
      <w:pPr>
        <w:pStyle w:val="ListParagraph"/>
        <w:numPr>
          <w:ilvl w:val="0"/>
          <w:numId w:val="2"/>
        </w:numPr>
        <w:spacing w:after="80" w:line="280"/>
      </w:pPr>
      <w:r>
        <w:rPr>
          <w:rFonts w:ascii="Calibri" w:cs="Calibri" w:eastAsia="Calibri" w:hAnsi="Calibri"/>
          <w:sz w:val="22"/>
          <w:szCs w:val="22"/>
        </w:rPr>
        <w:t xml:space="preserve">The Payment and Settlement Systems Act, 2007;</w:t>
      </w:r>
    </w:p>
    <w:p>
      <w:pPr>
        <w:pStyle w:val="ListParagraph"/>
        <w:numPr>
          <w:ilvl w:val="0"/>
          <w:numId w:val="2"/>
        </w:numPr>
        <w:spacing w:after="80" w:line="280"/>
      </w:pPr>
      <w:r>
        <w:rPr>
          <w:rFonts w:ascii="Calibri" w:cs="Calibri" w:eastAsia="Calibri" w:hAnsi="Calibri"/>
          <w:sz w:val="22"/>
          <w:szCs w:val="22"/>
        </w:rPr>
        <w:t xml:space="preserve">The RBI Guidelines on Regulation of Payment Aggregators and Payment Gateways (“PA/PG Guidelines”);</w:t>
      </w:r>
    </w:p>
    <w:p>
      <w:pPr>
        <w:pStyle w:val="ListParagraph"/>
        <w:numPr>
          <w:ilvl w:val="0"/>
          <w:numId w:val="2"/>
        </w:numPr>
        <w:spacing w:after="80" w:line="280"/>
      </w:pPr>
      <w:r>
        <w:rPr>
          <w:rFonts w:ascii="Calibri" w:cs="Calibri" w:eastAsia="Calibri" w:hAnsi="Calibri"/>
          <w:sz w:val="22"/>
          <w:szCs w:val="22"/>
        </w:rPr>
        <w:t xml:space="preserve">The RBI Master Direction on KYC;</w:t>
      </w:r>
    </w:p>
    <w:p>
      <w:pPr>
        <w:pStyle w:val="ListParagraph"/>
        <w:numPr>
          <w:ilvl w:val="0"/>
          <w:numId w:val="2"/>
        </w:numPr>
        <w:spacing w:after="80" w:line="280"/>
      </w:pPr>
      <w:r>
        <w:rPr>
          <w:rFonts w:ascii="Calibri" w:cs="Calibri" w:eastAsia="Calibri" w:hAnsi="Calibri"/>
          <w:sz w:val="22"/>
          <w:szCs w:val="22"/>
        </w:rPr>
        <w:t xml:space="preserve">The RBI Guidelines on Card-on-File Tokenisation;</w:t>
      </w:r>
    </w:p>
    <w:p>
      <w:pPr>
        <w:pStyle w:val="ListParagraph"/>
        <w:numPr>
          <w:ilvl w:val="0"/>
          <w:numId w:val="2"/>
        </w:numPr>
        <w:spacing w:after="80" w:line="280"/>
      </w:pPr>
      <w:r>
        <w:rPr>
          <w:rFonts w:ascii="Calibri" w:cs="Calibri" w:eastAsia="Calibri" w:hAnsi="Calibri"/>
          <w:sz w:val="22"/>
          <w:szCs w:val="22"/>
        </w:rPr>
        <w:t xml:space="preserve">The RBI framework on processing of e-mandates for recurring transactions.</w:t>
      </w:r>
    </w:p>
    <w:p>
      <w:pPr>
        <w:pStyle w:val="Heading2"/>
        <w:spacing w:after="120" w:before="240" w:line="300"/>
      </w:pPr>
      <w:r>
        <w:rPr>
          <w:rFonts w:ascii="Calibri" w:cs="Calibri" w:eastAsia="Calibri" w:hAnsi="Calibri"/>
          <w:b/>
          <w:bCs/>
          <w:color w:val="2E5496"/>
          <w:sz w:val="26"/>
          <w:szCs w:val="26"/>
        </w:rPr>
        <w:t xml:space="preserve">C. Tokenisation</w:t>
      </w:r>
    </w:p>
    <w:p>
      <w:pPr>
        <w:spacing w:after="120" w:line="300"/>
      </w:pPr>
      <w:r>
        <w:rPr>
          <w:rFonts w:ascii="Calibri" w:cs="Calibri" w:eastAsia="Calibri" w:hAnsi="Calibri"/>
          <w:sz w:val="22"/>
          <w:szCs w:val="22"/>
        </w:rPr>
        <w:t xml:space="preserve">Card data is tokenised by the Authorised Payment Partner in compliance with the RBI Card-on-File Tokenisation Guidelines. The Company does not store full card numbers, CVV, or other prohibited card data on its servers.</w:t>
      </w:r>
    </w:p>
    <w:p>
      <w:pPr>
        <w:pStyle w:val="Heading2"/>
        <w:spacing w:after="120" w:before="240" w:line="300"/>
      </w:pPr>
      <w:r>
        <w:rPr>
          <w:rFonts w:ascii="Calibri" w:cs="Calibri" w:eastAsia="Calibri" w:hAnsi="Calibri"/>
          <w:b/>
          <w:bCs/>
          <w:color w:val="2E5496"/>
          <w:sz w:val="26"/>
          <w:szCs w:val="26"/>
        </w:rPr>
        <w:t xml:space="preserve">D. Disclosure of Partner Terms</w:t>
      </w:r>
    </w:p>
    <w:p>
      <w:pPr>
        <w:spacing w:after="120" w:line="300"/>
      </w:pPr>
      <w:r>
        <w:rPr>
          <w:rFonts w:ascii="Calibri" w:cs="Calibri" w:eastAsia="Calibri" w:hAnsi="Calibri"/>
          <w:sz w:val="22"/>
          <w:szCs w:val="22"/>
        </w:rPr>
        <w:t xml:space="preserve">Payers and Recipients acknowledge that the Authorised Payment Partner's terms apply in addition to these Payment &amp; Payout Terms in respect of the fund-handling functions performed by that partner.</w:t>
      </w:r>
    </w:p>
    <w:p>
      <w:pPr>
        <w:pStyle w:val="Heading1"/>
        <w:spacing w:after="180" w:before="360" w:line="300"/>
      </w:pPr>
      <w:r>
        <w:rPr>
          <w:rFonts w:ascii="Calibri" w:cs="Calibri" w:eastAsia="Calibri" w:hAnsi="Calibri"/>
          <w:b/>
          <w:bCs/>
          <w:color w:val="1F3864"/>
          <w:sz w:val="30"/>
          <w:szCs w:val="30"/>
        </w:rPr>
        <w:t xml:space="preserve">4. Payment Methods and Authorisation</w:t>
      </w:r>
    </w:p>
    <w:p>
      <w:pPr>
        <w:pStyle w:val="Heading2"/>
        <w:spacing w:after="120" w:before="240" w:line="300"/>
      </w:pPr>
      <w:r>
        <w:rPr>
          <w:rFonts w:ascii="Calibri" w:cs="Calibri" w:eastAsia="Calibri" w:hAnsi="Calibri"/>
          <w:b/>
          <w:bCs/>
          <w:color w:val="2E5496"/>
          <w:sz w:val="26"/>
          <w:szCs w:val="26"/>
        </w:rPr>
        <w:t xml:space="preserve">A. Payment Methods</w:t>
      </w:r>
    </w:p>
    <w:p>
      <w:pPr>
        <w:spacing w:after="120" w:line="300"/>
      </w:pPr>
      <w:r>
        <w:rPr>
          <w:rFonts w:ascii="Calibri" w:cs="Calibri" w:eastAsia="Calibri" w:hAnsi="Calibri"/>
          <w:sz w:val="22"/>
          <w:szCs w:val="22"/>
        </w:rPr>
        <w:t xml:space="preserve">Subject to availability by region, Payers may use UPI, debit and credit cards, net banking, prepaid wallets, and other methods offered at checkout through the Authorised Payment Partner.</w:t>
      </w:r>
    </w:p>
    <w:p>
      <w:pPr>
        <w:pStyle w:val="Heading2"/>
        <w:spacing w:after="120" w:before="240" w:line="300"/>
      </w:pPr>
      <w:r>
        <w:rPr>
          <w:rFonts w:ascii="Calibri" w:cs="Calibri" w:eastAsia="Calibri" w:hAnsi="Calibri"/>
          <w:b/>
          <w:bCs/>
          <w:color w:val="2E5496"/>
          <w:sz w:val="26"/>
          <w:szCs w:val="26"/>
        </w:rPr>
        <w:t xml:space="preserve">B. Authorisation to Charge</w:t>
      </w:r>
    </w:p>
    <w:p>
      <w:pPr>
        <w:spacing w:after="120" w:line="300"/>
      </w:pPr>
      <w:r>
        <w:rPr>
          <w:rFonts w:ascii="Calibri" w:cs="Calibri" w:eastAsia="Calibri" w:hAnsi="Calibri"/>
          <w:sz w:val="22"/>
          <w:szCs w:val="22"/>
        </w:rPr>
        <w:t xml:space="preserve">By providing payment information and confirming a transaction, the Payer authorises the Company and its Authorised Payment Partner to charge the applicable amount, including taxes and disclosed fees, to the selected payment method.</w:t>
      </w:r>
    </w:p>
    <w:p>
      <w:pPr>
        <w:pStyle w:val="Heading2"/>
        <w:spacing w:after="120" w:before="240" w:line="300"/>
      </w:pPr>
      <w:r>
        <w:rPr>
          <w:rFonts w:ascii="Calibri" w:cs="Calibri" w:eastAsia="Calibri" w:hAnsi="Calibri"/>
          <w:b/>
          <w:bCs/>
          <w:color w:val="2E5496"/>
          <w:sz w:val="26"/>
          <w:szCs w:val="26"/>
        </w:rPr>
        <w:t xml:space="preserve">C. Currency</w:t>
      </w:r>
    </w:p>
    <w:p>
      <w:pPr>
        <w:spacing w:after="120" w:line="300"/>
      </w:pPr>
      <w:r>
        <w:rPr>
          <w:rFonts w:ascii="Calibri" w:cs="Calibri" w:eastAsia="Calibri" w:hAnsi="Calibri"/>
          <w:sz w:val="22"/>
          <w:szCs w:val="22"/>
        </w:rPr>
        <w:t xml:space="preserve">Default transaction currency is Indian Rupees. Where cross-border payment is supported, currency conversion is performed at the rate disclosed at the time of transaction, including any disclosed spread.</w:t>
      </w:r>
    </w:p>
    <w:p>
      <w:pPr>
        <w:pStyle w:val="Heading2"/>
        <w:spacing w:after="120" w:before="240" w:line="300"/>
      </w:pPr>
      <w:r>
        <w:rPr>
          <w:rFonts w:ascii="Calibri" w:cs="Calibri" w:eastAsia="Calibri" w:hAnsi="Calibri"/>
          <w:b/>
          <w:bCs/>
          <w:color w:val="2E5496"/>
          <w:sz w:val="26"/>
          <w:szCs w:val="26"/>
        </w:rPr>
        <w:t xml:space="preserve">D. Failed and Declined Transactions</w:t>
      </w:r>
    </w:p>
    <w:p>
      <w:pPr>
        <w:spacing w:after="120" w:line="300"/>
      </w:pPr>
      <w:r>
        <w:rPr>
          <w:rFonts w:ascii="Calibri" w:cs="Calibri" w:eastAsia="Calibri" w:hAnsi="Calibri"/>
          <w:sz w:val="22"/>
          <w:szCs w:val="22"/>
        </w:rPr>
        <w:t xml:space="preserve">Declined, failed, or reversed transactions do not constitute Gross Receipts and do not give rise to Recipient entitlement.</w:t>
      </w:r>
    </w:p>
    <w:p>
      <w:pPr>
        <w:pStyle w:val="Heading1"/>
        <w:spacing w:after="180" w:before="360" w:line="300"/>
      </w:pPr>
      <w:r>
        <w:rPr>
          <w:rFonts w:ascii="Calibri" w:cs="Calibri" w:eastAsia="Calibri" w:hAnsi="Calibri"/>
          <w:b/>
          <w:bCs/>
          <w:color w:val="1F3864"/>
          <w:sz w:val="30"/>
          <w:szCs w:val="30"/>
        </w:rPr>
        <w:t xml:space="preserve">5. Recurring Payments, Subscriptions, and E-Mandates</w:t>
      </w:r>
    </w:p>
    <w:p>
      <w:pPr>
        <w:pStyle w:val="Heading2"/>
        <w:spacing w:after="120" w:before="240" w:line="300"/>
      </w:pPr>
      <w:r>
        <w:rPr>
          <w:rFonts w:ascii="Calibri" w:cs="Calibri" w:eastAsia="Calibri" w:hAnsi="Calibri"/>
          <w:b/>
          <w:bCs/>
          <w:color w:val="2E5496"/>
          <w:sz w:val="26"/>
          <w:szCs w:val="26"/>
        </w:rPr>
        <w:t xml:space="preserve">A. Auto-Renewal</w:t>
      </w:r>
    </w:p>
    <w:p>
      <w:pPr>
        <w:spacing w:after="120" w:line="300"/>
      </w:pPr>
      <w:r>
        <w:rPr>
          <w:rFonts w:ascii="Calibri" w:cs="Calibri" w:eastAsia="Calibri" w:hAnsi="Calibri"/>
          <w:sz w:val="22"/>
          <w:szCs w:val="22"/>
        </w:rPr>
        <w:t xml:space="preserve">Subscriptions and recurring memberships auto-renew at the end of each billing cycle until cancelled, subject to the e-mandate framework below.</w:t>
      </w:r>
    </w:p>
    <w:p>
      <w:pPr>
        <w:pStyle w:val="Heading2"/>
        <w:spacing w:after="120" w:before="240" w:line="300"/>
      </w:pPr>
      <w:r>
        <w:rPr>
          <w:rFonts w:ascii="Calibri" w:cs="Calibri" w:eastAsia="Calibri" w:hAnsi="Calibri"/>
          <w:b/>
          <w:bCs/>
          <w:color w:val="2E5496"/>
          <w:sz w:val="26"/>
          <w:szCs w:val="26"/>
        </w:rPr>
        <w:t xml:space="preserve">B. RBI E-Mandate Compliance</w:t>
      </w:r>
    </w:p>
    <w:p>
      <w:pPr>
        <w:spacing w:after="120" w:line="300"/>
      </w:pPr>
      <w:r>
        <w:rPr>
          <w:rFonts w:ascii="Calibri" w:cs="Calibri" w:eastAsia="Calibri" w:hAnsi="Calibri"/>
          <w:sz w:val="22"/>
          <w:szCs w:val="22"/>
        </w:rPr>
        <w:t xml:space="preserve">Recurring payments comply with the RBI framework on processing of e-mandates on cards and other instruments, including:</w:t>
      </w:r>
    </w:p>
    <w:p>
      <w:pPr>
        <w:pStyle w:val="ListParagraph"/>
        <w:numPr>
          <w:ilvl w:val="0"/>
          <w:numId w:val="2"/>
        </w:numPr>
        <w:spacing w:after="80" w:line="280"/>
      </w:pPr>
      <w:r>
        <w:rPr>
          <w:rFonts w:ascii="Calibri" w:cs="Calibri" w:eastAsia="Calibri" w:hAnsi="Calibri"/>
          <w:sz w:val="22"/>
          <w:szCs w:val="22"/>
        </w:rPr>
        <w:t xml:space="preserve">Registration of the e-mandate with Payer authentication;</w:t>
      </w:r>
    </w:p>
    <w:p>
      <w:pPr>
        <w:pStyle w:val="ListParagraph"/>
        <w:numPr>
          <w:ilvl w:val="0"/>
          <w:numId w:val="2"/>
        </w:numPr>
        <w:spacing w:after="80" w:line="280"/>
      </w:pPr>
      <w:r>
        <w:rPr>
          <w:rFonts w:ascii="Calibri" w:cs="Calibri" w:eastAsia="Calibri" w:hAnsi="Calibri"/>
          <w:sz w:val="22"/>
          <w:szCs w:val="22"/>
        </w:rPr>
        <w:t xml:space="preserve">Pre-debit notification to the Payer at least twenty-four (24) hours before each recurring debit;</w:t>
      </w:r>
    </w:p>
    <w:p>
      <w:pPr>
        <w:pStyle w:val="ListParagraph"/>
        <w:numPr>
          <w:ilvl w:val="0"/>
          <w:numId w:val="2"/>
        </w:numPr>
        <w:spacing w:after="80" w:line="280"/>
      </w:pPr>
      <w:r>
        <w:rPr>
          <w:rFonts w:ascii="Calibri" w:cs="Calibri" w:eastAsia="Calibri" w:hAnsi="Calibri"/>
          <w:sz w:val="22"/>
          <w:szCs w:val="22"/>
        </w:rPr>
        <w:t xml:space="preserve">Additional Factor of Authentication for transactions above the prescribed threshold;</w:t>
      </w:r>
    </w:p>
    <w:p>
      <w:pPr>
        <w:pStyle w:val="ListParagraph"/>
        <w:numPr>
          <w:ilvl w:val="0"/>
          <w:numId w:val="2"/>
        </w:numPr>
        <w:spacing w:after="80" w:line="280"/>
      </w:pPr>
      <w:r>
        <w:rPr>
          <w:rFonts w:ascii="Calibri" w:cs="Calibri" w:eastAsia="Calibri" w:hAnsi="Calibri"/>
          <w:sz w:val="22"/>
          <w:szCs w:val="22"/>
        </w:rPr>
        <w:t xml:space="preserve">The Payer's right to withdraw the e-mandate at any time.</w:t>
      </w:r>
    </w:p>
    <w:p>
      <w:pPr>
        <w:pStyle w:val="Heading2"/>
        <w:spacing w:after="120" w:before="240" w:line="300"/>
      </w:pPr>
      <w:r>
        <w:rPr>
          <w:rFonts w:ascii="Calibri" w:cs="Calibri" w:eastAsia="Calibri" w:hAnsi="Calibri"/>
          <w:b/>
          <w:bCs/>
          <w:color w:val="2E5496"/>
          <w:sz w:val="26"/>
          <w:szCs w:val="26"/>
        </w:rPr>
        <w:t xml:space="preserve">C. Cancellation</w:t>
      </w:r>
    </w:p>
    <w:p>
      <w:pPr>
        <w:spacing w:after="120" w:line="300"/>
      </w:pPr>
      <w:r>
        <w:rPr>
          <w:rFonts w:ascii="Calibri" w:cs="Calibri" w:eastAsia="Calibri" w:hAnsi="Calibri"/>
          <w:sz w:val="22"/>
          <w:szCs w:val="22"/>
        </w:rPr>
        <w:t xml:space="preserve">The Payer may cancel a subscription at any time through Account Settings. Cancellation takes effect at the end of the current billing cycle. No partial refunds for the unexpired portion are provided except as required by law or the Refund provisions in Section 7.</w:t>
      </w:r>
    </w:p>
    <w:p>
      <w:pPr>
        <w:pStyle w:val="Heading2"/>
        <w:spacing w:after="120" w:before="240" w:line="300"/>
      </w:pPr>
      <w:r>
        <w:rPr>
          <w:rFonts w:ascii="Calibri" w:cs="Calibri" w:eastAsia="Calibri" w:hAnsi="Calibri"/>
          <w:b/>
          <w:bCs/>
          <w:color w:val="2E5496"/>
          <w:sz w:val="26"/>
          <w:szCs w:val="26"/>
        </w:rPr>
        <w:t xml:space="preserve">D. No Subscription Traps</w:t>
      </w:r>
    </w:p>
    <w:p>
      <w:pPr>
        <w:spacing w:after="120" w:line="300"/>
      </w:pPr>
      <w:r>
        <w:rPr>
          <w:rFonts w:ascii="Calibri" w:cs="Calibri" w:eastAsia="Calibri" w:hAnsi="Calibri"/>
          <w:sz w:val="22"/>
          <w:szCs w:val="22"/>
        </w:rPr>
        <w:t xml:space="preserve">Consistent with the Community Guidelines and the CCPA Dark Patterns Guidelines, 2023, cancellation is at least as easy as subscription, and no dark patterns are used to impede cancellation.</w:t>
      </w:r>
    </w:p>
    <w:p>
      <w:pPr>
        <w:pStyle w:val="Heading1"/>
        <w:spacing w:after="180" w:before="360" w:line="300"/>
      </w:pPr>
      <w:r>
        <w:rPr>
          <w:rFonts w:ascii="Calibri" w:cs="Calibri" w:eastAsia="Calibri" w:hAnsi="Calibri"/>
          <w:b/>
          <w:bCs/>
          <w:color w:val="1F3864"/>
          <w:sz w:val="30"/>
          <w:szCs w:val="30"/>
        </w:rPr>
        <w:t xml:space="preserve">6. Fees and Charges</w:t>
      </w:r>
    </w:p>
    <w:p>
      <w:pPr>
        <w:pStyle w:val="Heading2"/>
        <w:spacing w:after="120" w:before="240" w:line="300"/>
      </w:pPr>
      <w:r>
        <w:rPr>
          <w:rFonts w:ascii="Calibri" w:cs="Calibri" w:eastAsia="Calibri" w:hAnsi="Calibri"/>
          <w:b/>
          <w:bCs/>
          <w:color w:val="2E5496"/>
          <w:sz w:val="26"/>
          <w:szCs w:val="26"/>
        </w:rPr>
        <w:t xml:space="preserve">A. Disclosure</w:t>
      </w:r>
    </w:p>
    <w:p>
      <w:pPr>
        <w:spacing w:after="120" w:line="300"/>
      </w:pPr>
      <w:r>
        <w:rPr>
          <w:rFonts w:ascii="Calibri" w:cs="Calibri" w:eastAsia="Calibri" w:hAnsi="Calibri"/>
          <w:sz w:val="22"/>
          <w:szCs w:val="22"/>
        </w:rPr>
        <w:t xml:space="preserve">All fees — platform fees, payment processing fees, currency conversion spreads, and feature-specific fees — are disclosed at the point of transaction or in the applicable Role Agreement.</w:t>
      </w:r>
    </w:p>
    <w:p>
      <w:pPr>
        <w:pStyle w:val="Heading2"/>
        <w:spacing w:after="120" w:before="240" w:line="300"/>
      </w:pPr>
      <w:r>
        <w:rPr>
          <w:rFonts w:ascii="Calibri" w:cs="Calibri" w:eastAsia="Calibri" w:hAnsi="Calibri"/>
          <w:b/>
          <w:bCs/>
          <w:color w:val="2E5496"/>
          <w:sz w:val="26"/>
          <w:szCs w:val="26"/>
        </w:rPr>
        <w:t xml:space="preserve">B. Platform Fees</w:t>
      </w:r>
    </w:p>
    <w:p>
      <w:pPr>
        <w:spacing w:after="120" w:line="300"/>
      </w:pPr>
      <w:r>
        <w:rPr>
          <w:rFonts w:ascii="Calibri" w:cs="Calibri" w:eastAsia="Calibri" w:hAnsi="Calibri"/>
          <w:sz w:val="22"/>
          <w:szCs w:val="22"/>
        </w:rPr>
        <w:t xml:space="preserve">The Company charges Platform Service Fees as set out in the Creator Agreement (Schedule A), the Merchant Agreement, the Advertising Policy, the Affiliate Program Terms, and the Events Terms, as applicable to the Recipient's role.</w:t>
      </w:r>
    </w:p>
    <w:p>
      <w:pPr>
        <w:pStyle w:val="Heading2"/>
        <w:spacing w:after="120" w:before="240" w:line="300"/>
      </w:pPr>
      <w:r>
        <w:rPr>
          <w:rFonts w:ascii="Calibri" w:cs="Calibri" w:eastAsia="Calibri" w:hAnsi="Calibri"/>
          <w:b/>
          <w:bCs/>
          <w:color w:val="2E5496"/>
          <w:sz w:val="26"/>
          <w:szCs w:val="26"/>
        </w:rPr>
        <w:t xml:space="preserve">C. Payment Processing Fees</w:t>
      </w:r>
    </w:p>
    <w:p>
      <w:pPr>
        <w:spacing w:after="120" w:line="300"/>
      </w:pPr>
      <w:r>
        <w:rPr>
          <w:rFonts w:ascii="Calibri" w:cs="Calibri" w:eastAsia="Calibri" w:hAnsi="Calibri"/>
          <w:sz w:val="22"/>
          <w:szCs w:val="22"/>
        </w:rPr>
        <w:t xml:space="preserve">Payment processing fees charged by Authorised Payment Partners are a deduction in computing Net Revenue under the applicable Role Agreement.</w:t>
      </w:r>
    </w:p>
    <w:p>
      <w:pPr>
        <w:pStyle w:val="Heading2"/>
        <w:spacing w:after="120" w:before="240" w:line="300"/>
      </w:pPr>
      <w:r>
        <w:rPr>
          <w:rFonts w:ascii="Calibri" w:cs="Calibri" w:eastAsia="Calibri" w:hAnsi="Calibri"/>
          <w:b/>
          <w:bCs/>
          <w:color w:val="2E5496"/>
          <w:sz w:val="26"/>
          <w:szCs w:val="26"/>
        </w:rPr>
        <w:t xml:space="preserve">D. Taxes on Fees</w:t>
      </w:r>
    </w:p>
    <w:p>
      <w:pPr>
        <w:spacing w:after="120" w:line="300"/>
      </w:pPr>
      <w:r>
        <w:rPr>
          <w:rFonts w:ascii="Calibri" w:cs="Calibri" w:eastAsia="Calibri" w:hAnsi="Calibri"/>
          <w:sz w:val="22"/>
          <w:szCs w:val="22"/>
        </w:rPr>
        <w:t xml:space="preserve">GST applies to the Company's fees as required by law; the Company issues tax invoices accordingly.</w:t>
      </w:r>
    </w:p>
    <w:p>
      <w:pPr>
        <w:pStyle w:val="Heading1"/>
        <w:spacing w:after="180" w:before="360" w:line="300"/>
      </w:pPr>
      <w:r>
        <w:rPr>
          <w:rFonts w:ascii="Calibri" w:cs="Calibri" w:eastAsia="Calibri" w:hAnsi="Calibri"/>
          <w:b/>
          <w:bCs/>
          <w:color w:val="1F3864"/>
          <w:sz w:val="30"/>
          <w:szCs w:val="30"/>
        </w:rPr>
        <w:t xml:space="preserve">7. Refunds, Cancellations, and the Refund Policy</w:t>
      </w:r>
    </w:p>
    <w:p>
      <w:pPr>
        <w:pStyle w:val="Heading2"/>
        <w:spacing w:after="120" w:before="240" w:line="300"/>
      </w:pPr>
      <w:r>
        <w:rPr>
          <w:rFonts w:ascii="Calibri" w:cs="Calibri" w:eastAsia="Calibri" w:hAnsi="Calibri"/>
          <w:b/>
          <w:bCs/>
          <w:color w:val="2E5496"/>
          <w:sz w:val="26"/>
          <w:szCs w:val="26"/>
        </w:rPr>
        <w:t xml:space="preserve">A. General</w:t>
      </w:r>
    </w:p>
    <w:p>
      <w:pPr>
        <w:spacing w:after="120" w:line="300"/>
      </w:pPr>
      <w:r>
        <w:rPr>
          <w:rFonts w:ascii="Calibri" w:cs="Calibri" w:eastAsia="Calibri" w:hAnsi="Calibri"/>
          <w:sz w:val="22"/>
          <w:szCs w:val="22"/>
        </w:rPr>
        <w:t xml:space="preserve">Refund entitlements depend on the nature of the transaction. The following table sets out the minimum framework; specific Role Agreements and Applicable Law may grant stronger rights.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rPr>
          <w:tblHeader/>
        </w:trPr>
        <w:tc>
          <w:tcPr>
            <w:tcW w:type="dxa" w:w="34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Transaction Type</w:t>
            </w:r>
          </w:p>
        </w:tc>
        <w:tc>
          <w:tcPr>
            <w:tcW w:type="dxa" w:w="59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Refund Position</w:t>
            </w:r>
          </w:p>
        </w:tc>
      </w:tr>
      <w:tr>
        <w:tc>
          <w:tcPr>
            <w:tcW w:type="dxa" w:w="3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Digital content / Creator subscription</w:t>
            </w:r>
          </w:p>
        </w:tc>
        <w:tc>
          <w:tcPr>
            <w:tcW w:type="dxa" w:w="5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Generally non-refundable after access is granted, except duplicate charge, technical failure, or as required by law</w:t>
            </w:r>
          </w:p>
        </w:tc>
      </w:tr>
      <w:tr>
        <w:tc>
          <w:tcPr>
            <w:tcW w:type="dxa" w:w="3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Tips / Gifts / Fan-Funding</w:t>
            </w:r>
          </w:p>
        </w:tc>
        <w:tc>
          <w:tcPr>
            <w:tcW w:type="dxa" w:w="5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Non-refundable once delivered, except fraud, mistake, or unauthorised transaction</w:t>
            </w:r>
          </w:p>
        </w:tc>
      </w:tr>
      <w:tr>
        <w:tc>
          <w:tcPr>
            <w:tcW w:type="dxa" w:w="3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Livestream gifting</w:t>
            </w:r>
          </w:p>
        </w:tc>
        <w:tc>
          <w:tcPr>
            <w:tcW w:type="dxa" w:w="5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Non-refundable once redeemed, except fraud or unauthorised transaction</w:t>
            </w:r>
          </w:p>
        </w:tc>
      </w:tr>
      <w:tr>
        <w:tc>
          <w:tcPr>
            <w:tcW w:type="dxa" w:w="3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Marketplace physical goods</w:t>
            </w:r>
          </w:p>
        </w:tc>
        <w:tc>
          <w:tcPr>
            <w:tcW w:type="dxa" w:w="5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Per the Merchant Agreement and the Consumer Protection (E-Commerce) Rules, 2020</w:t>
            </w:r>
          </w:p>
        </w:tc>
      </w:tr>
      <w:tr>
        <w:tc>
          <w:tcPr>
            <w:tcW w:type="dxa" w:w="3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Marketplace digital goods</w:t>
            </w:r>
          </w:p>
        </w:tc>
        <w:tc>
          <w:tcPr>
            <w:tcW w:type="dxa" w:w="5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14-day right of withdrawal where required (EU/UK), waived where the User expressly consents to immediate performance with acknowledged loss of withdrawal right</w:t>
            </w:r>
          </w:p>
        </w:tc>
      </w:tr>
      <w:tr>
        <w:tc>
          <w:tcPr>
            <w:tcW w:type="dxa" w:w="3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Event tickets</w:t>
            </w:r>
          </w:p>
        </w:tc>
        <w:tc>
          <w:tcPr>
            <w:tcW w:type="dxa" w:w="5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Per the Event Organizer's published policy and the Events Terms; statutory rights preserved</w:t>
            </w:r>
          </w:p>
        </w:tc>
      </w:tr>
      <w:tr>
        <w:tc>
          <w:tcPr>
            <w:tcW w:type="dxa" w:w="3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Advertising spend</w:t>
            </w:r>
          </w:p>
        </w:tc>
        <w:tc>
          <w:tcPr>
            <w:tcW w:type="dxa" w:w="5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Generally non-refundable; pro-rated credit or make-good for Platform-attributable failure per the Advertising Policy</w:t>
            </w:r>
          </w:p>
        </w:tc>
      </w:tr>
      <w:tr>
        <w:tc>
          <w:tcPr>
            <w:tcW w:type="dxa" w:w="3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Subscription auto-renewal billed in error</w:t>
            </w:r>
          </w:p>
        </w:tc>
        <w:tc>
          <w:tcPr>
            <w:tcW w:type="dxa" w:w="5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Refundable where cancellation was attempted before renewal or where the pre-debit notification was not given</w:t>
            </w:r>
          </w:p>
        </w:tc>
      </w:tr>
    </w:tbl>
    <w:p>
      <w:pPr>
        <w:pStyle w:val="Heading2"/>
        <w:spacing w:after="120" w:before="240" w:line="300"/>
      </w:pPr>
      <w:r>
        <w:rPr>
          <w:rFonts w:ascii="Calibri" w:cs="Calibri" w:eastAsia="Calibri" w:hAnsi="Calibri"/>
          <w:b/>
          <w:bCs/>
          <w:color w:val="2E5496"/>
          <w:sz w:val="26"/>
          <w:szCs w:val="26"/>
        </w:rPr>
        <w:t xml:space="preserve">B. Statutory Rights</w:t>
      </w:r>
    </w:p>
    <w:p>
      <w:pPr>
        <w:spacing w:after="120" w:line="300"/>
      </w:pPr>
      <w:r>
        <w:rPr>
          <w:rFonts w:ascii="Calibri" w:cs="Calibri" w:eastAsia="Calibri" w:hAnsi="Calibri"/>
          <w:sz w:val="22"/>
          <w:szCs w:val="22"/>
        </w:rPr>
        <w:t xml:space="preserve">Nothing in this Section limits statutory consumer rights under the Consumer Protection Act, 2019, the Consumer Protection (E-Commerce) Rules, 2020, or applicable foreign consumer law.</w:t>
      </w:r>
    </w:p>
    <w:p>
      <w:pPr>
        <w:pStyle w:val="Heading2"/>
        <w:spacing w:after="120" w:before="240" w:line="300"/>
      </w:pPr>
      <w:r>
        <w:rPr>
          <w:rFonts w:ascii="Calibri" w:cs="Calibri" w:eastAsia="Calibri" w:hAnsi="Calibri"/>
          <w:b/>
          <w:bCs/>
          <w:color w:val="2E5496"/>
          <w:sz w:val="26"/>
          <w:szCs w:val="26"/>
        </w:rPr>
        <w:t xml:space="preserve">C. Refund Processing</w:t>
      </w:r>
    </w:p>
    <w:p>
      <w:pPr>
        <w:spacing w:after="120" w:line="300"/>
      </w:pPr>
      <w:r>
        <w:rPr>
          <w:rFonts w:ascii="Calibri" w:cs="Calibri" w:eastAsia="Calibri" w:hAnsi="Calibri"/>
          <w:sz w:val="22"/>
          <w:szCs w:val="22"/>
        </w:rPr>
        <w:t xml:space="preserve">Approved refunds are processed to the original payment method through the Authorised Payment Partner, typically within seven (7) to ten (10) business days, subject to the partner's and the issuing bank's timelines.</w:t>
      </w:r>
    </w:p>
    <w:p>
      <w:pPr>
        <w:pStyle w:val="Heading1"/>
        <w:spacing w:after="180" w:before="360" w:line="300"/>
      </w:pPr>
      <w:r>
        <w:rPr>
          <w:rFonts w:ascii="Calibri" w:cs="Calibri" w:eastAsia="Calibri" w:hAnsi="Calibri"/>
          <w:b/>
          <w:bCs/>
          <w:color w:val="1F3864"/>
          <w:sz w:val="30"/>
          <w:szCs w:val="30"/>
        </w:rPr>
        <w:t xml:space="preserve">8. Chargebacks and Disputes</w:t>
      </w:r>
    </w:p>
    <w:p>
      <w:pPr>
        <w:pStyle w:val="Heading2"/>
        <w:spacing w:after="120" w:before="240" w:line="300"/>
      </w:pPr>
      <w:r>
        <w:rPr>
          <w:rFonts w:ascii="Calibri" w:cs="Calibri" w:eastAsia="Calibri" w:hAnsi="Calibri"/>
          <w:b/>
          <w:bCs/>
          <w:color w:val="2E5496"/>
          <w:sz w:val="26"/>
          <w:szCs w:val="26"/>
        </w:rPr>
        <w:t xml:space="preserve">A. Chargeback Process</w:t>
      </w:r>
    </w:p>
    <w:p>
      <w:pPr>
        <w:spacing w:after="120" w:line="300"/>
      </w:pPr>
      <w:r>
        <w:rPr>
          <w:rFonts w:ascii="Calibri" w:cs="Calibri" w:eastAsia="Calibri" w:hAnsi="Calibri"/>
          <w:sz w:val="22"/>
          <w:szCs w:val="22"/>
        </w:rPr>
        <w:t xml:space="preserve">A Chargeback filed by a Payer with the issuing bank or card network triggers the Authorised Payment Partner's chargeback process. The Company may request information from the Recipient to represent the transaction.</w:t>
      </w:r>
    </w:p>
    <w:p>
      <w:pPr>
        <w:pStyle w:val="Heading2"/>
        <w:spacing w:after="120" w:before="240" w:line="300"/>
      </w:pPr>
      <w:r>
        <w:rPr>
          <w:rFonts w:ascii="Calibri" w:cs="Calibri" w:eastAsia="Calibri" w:hAnsi="Calibri"/>
          <w:b/>
          <w:bCs/>
          <w:color w:val="2E5496"/>
          <w:sz w:val="26"/>
          <w:szCs w:val="26"/>
        </w:rPr>
        <w:t xml:space="preserve">B. Allocation of Chargeback Liability</w:t>
      </w:r>
    </w:p>
    <w:p>
      <w:pPr>
        <w:spacing w:after="120" w:line="300"/>
      </w:pPr>
      <w:r>
        <w:rPr>
          <w:rFonts w:ascii="Calibri" w:cs="Calibri" w:eastAsia="Calibri" w:hAnsi="Calibri"/>
          <w:sz w:val="22"/>
          <w:szCs w:val="22"/>
        </w:rPr>
        <w:t xml:space="preserve">Chargeback liability is allocated to the Recipient whose transaction is the subject of the Chargeback. The Company may:</w:t>
      </w:r>
    </w:p>
    <w:p>
      <w:pPr>
        <w:pStyle w:val="ListParagraph"/>
        <w:numPr>
          <w:ilvl w:val="0"/>
          <w:numId w:val="2"/>
        </w:numPr>
        <w:spacing w:after="80" w:line="280"/>
      </w:pPr>
      <w:r>
        <w:rPr>
          <w:rFonts w:ascii="Calibri" w:cs="Calibri" w:eastAsia="Calibri" w:hAnsi="Calibri"/>
          <w:sz w:val="22"/>
          <w:szCs w:val="22"/>
        </w:rPr>
        <w:t xml:space="preserve">Reverse the disputed amount from the Recipient's Available Balance or Provisional Earnings;</w:t>
      </w:r>
    </w:p>
    <w:p>
      <w:pPr>
        <w:pStyle w:val="ListParagraph"/>
        <w:numPr>
          <w:ilvl w:val="0"/>
          <w:numId w:val="2"/>
        </w:numPr>
        <w:spacing w:after="80" w:line="280"/>
      </w:pPr>
      <w:r>
        <w:rPr>
          <w:rFonts w:ascii="Calibri" w:cs="Calibri" w:eastAsia="Calibri" w:hAnsi="Calibri"/>
          <w:sz w:val="22"/>
          <w:szCs w:val="22"/>
        </w:rPr>
        <w:t xml:space="preserve">Offset against future earnings;</w:t>
      </w:r>
    </w:p>
    <w:p>
      <w:pPr>
        <w:pStyle w:val="ListParagraph"/>
        <w:numPr>
          <w:ilvl w:val="0"/>
          <w:numId w:val="2"/>
        </w:numPr>
        <w:spacing w:after="80" w:line="280"/>
      </w:pPr>
      <w:r>
        <w:rPr>
          <w:rFonts w:ascii="Calibri" w:cs="Calibri" w:eastAsia="Calibri" w:hAnsi="Calibri"/>
          <w:sz w:val="22"/>
          <w:szCs w:val="22"/>
        </w:rPr>
        <w:t xml:space="preserve">Recover any resulting negative balance under Section 9;</w:t>
      </w:r>
    </w:p>
    <w:p>
      <w:pPr>
        <w:pStyle w:val="ListParagraph"/>
        <w:numPr>
          <w:ilvl w:val="0"/>
          <w:numId w:val="2"/>
        </w:numPr>
        <w:spacing w:after="80" w:line="280"/>
      </w:pPr>
      <w:r>
        <w:rPr>
          <w:rFonts w:ascii="Calibri" w:cs="Calibri" w:eastAsia="Calibri" w:hAnsi="Calibri"/>
          <w:sz w:val="22"/>
          <w:szCs w:val="22"/>
        </w:rPr>
        <w:t xml:space="preserve">Pass through chargeback fees charged by the Authorised Payment Partner.</w:t>
      </w:r>
    </w:p>
    <w:p>
      <w:pPr>
        <w:pStyle w:val="Heading2"/>
        <w:spacing w:after="120" w:before="240" w:line="300"/>
      </w:pPr>
      <w:r>
        <w:rPr>
          <w:rFonts w:ascii="Calibri" w:cs="Calibri" w:eastAsia="Calibri" w:hAnsi="Calibri"/>
          <w:b/>
          <w:bCs/>
          <w:color w:val="2E5496"/>
          <w:sz w:val="26"/>
          <w:szCs w:val="26"/>
        </w:rPr>
        <w:t xml:space="preserve">C. Excessive Chargebacks</w:t>
      </w:r>
    </w:p>
    <w:p>
      <w:pPr>
        <w:spacing w:after="120" w:line="300"/>
      </w:pPr>
      <w:r>
        <w:rPr>
          <w:rFonts w:ascii="Calibri" w:cs="Calibri" w:eastAsia="Calibri" w:hAnsi="Calibri"/>
          <w:sz w:val="22"/>
          <w:szCs w:val="22"/>
        </w:rPr>
        <w:t xml:space="preserve">Chargeback rates exceeding the threshold disclosed to Recipients may result in increased Hold Periods, monetization or payout restriction, or suspension under the applicable Role Agreement and Section 11.</w:t>
      </w:r>
    </w:p>
    <w:p>
      <w:pPr>
        <w:pStyle w:val="Heading2"/>
        <w:spacing w:after="120" w:before="240" w:line="300"/>
      </w:pPr>
      <w:r>
        <w:rPr>
          <w:rFonts w:ascii="Calibri" w:cs="Calibri" w:eastAsia="Calibri" w:hAnsi="Calibri"/>
          <w:b/>
          <w:bCs/>
          <w:color w:val="2E5496"/>
          <w:sz w:val="26"/>
          <w:szCs w:val="26"/>
        </w:rPr>
        <w:t xml:space="preserve">D. Payment Grievances</w:t>
      </w:r>
    </w:p>
    <w:p>
      <w:pPr>
        <w:spacing w:after="120" w:line="300"/>
      </w:pPr>
      <w:r>
        <w:rPr>
          <w:rFonts w:ascii="Calibri" w:cs="Calibri" w:eastAsia="Calibri" w:hAnsi="Calibri"/>
          <w:sz w:val="22"/>
          <w:szCs w:val="22"/>
        </w:rPr>
        <w:t xml:space="preserve">Payment-related grievances may be raised at payments@riseupcreators.com. Unresolved payment disputes may be escalated to the Grievance Officer under Section 19 of the Terms of Service and, where unresolved within thirty (30) days, to the RBI Ombudsman for Digital Transactions or the relevant banking ombudsman, as applicable.</w:t>
      </w:r>
    </w:p>
    <w:p>
      <w:pPr>
        <w:pStyle w:val="Heading1"/>
        <w:spacing w:after="180" w:before="360" w:line="300"/>
      </w:pPr>
      <w:r>
        <w:rPr>
          <w:rFonts w:ascii="Calibri" w:cs="Calibri" w:eastAsia="Calibri" w:hAnsi="Calibri"/>
          <w:b/>
          <w:bCs/>
          <w:color w:val="1F3864"/>
          <w:sz w:val="30"/>
          <w:szCs w:val="30"/>
        </w:rPr>
        <w:t xml:space="preserve">9. Payouts to Recipients</w:t>
      </w:r>
    </w:p>
    <w:p>
      <w:pPr>
        <w:pStyle w:val="Heading2"/>
        <w:spacing w:after="120" w:before="240" w:line="300"/>
      </w:pPr>
      <w:r>
        <w:rPr>
          <w:rFonts w:ascii="Calibri" w:cs="Calibri" w:eastAsia="Calibri" w:hAnsi="Calibri"/>
          <w:b/>
          <w:bCs/>
          <w:color w:val="2E5496"/>
          <w:sz w:val="26"/>
          <w:szCs w:val="26"/>
        </w:rPr>
        <w:t xml:space="preserve">A. Payout Eligibility</w:t>
      </w:r>
    </w:p>
    <w:p>
      <w:pPr>
        <w:spacing w:after="120" w:line="300"/>
      </w:pPr>
      <w:r>
        <w:rPr>
          <w:rFonts w:ascii="Calibri" w:cs="Calibri" w:eastAsia="Calibri" w:hAnsi="Calibri"/>
          <w:sz w:val="22"/>
          <w:szCs w:val="22"/>
        </w:rPr>
        <w:t xml:space="preserve">A Recipient is eligible for Payout where:</w:t>
      </w:r>
    </w:p>
    <w:p>
      <w:pPr>
        <w:pStyle w:val="ListParagraph"/>
        <w:numPr>
          <w:ilvl w:val="0"/>
          <w:numId w:val="2"/>
        </w:numPr>
        <w:spacing w:after="80" w:line="280"/>
      </w:pPr>
      <w:r>
        <w:rPr>
          <w:rFonts w:ascii="Calibri" w:cs="Calibri" w:eastAsia="Calibri" w:hAnsi="Calibri"/>
          <w:sz w:val="22"/>
          <w:szCs w:val="22"/>
        </w:rPr>
        <w:t xml:space="preserve">KYC verification is complete;</w:t>
      </w:r>
    </w:p>
    <w:p>
      <w:pPr>
        <w:pStyle w:val="ListParagraph"/>
        <w:numPr>
          <w:ilvl w:val="0"/>
          <w:numId w:val="2"/>
        </w:numPr>
        <w:spacing w:after="80" w:line="280"/>
      </w:pPr>
      <w:r>
        <w:rPr>
          <w:rFonts w:ascii="Calibri" w:cs="Calibri" w:eastAsia="Calibri" w:hAnsi="Calibri"/>
          <w:sz w:val="22"/>
          <w:szCs w:val="22"/>
        </w:rPr>
        <w:t xml:space="preserve">A valid payout method is verified;</w:t>
      </w:r>
    </w:p>
    <w:p>
      <w:pPr>
        <w:pStyle w:val="ListParagraph"/>
        <w:numPr>
          <w:ilvl w:val="0"/>
          <w:numId w:val="2"/>
        </w:numPr>
        <w:spacing w:after="80" w:line="280"/>
      </w:pPr>
      <w:r>
        <w:rPr>
          <w:rFonts w:ascii="Calibri" w:cs="Calibri" w:eastAsia="Calibri" w:hAnsi="Calibri"/>
          <w:sz w:val="22"/>
          <w:szCs w:val="22"/>
        </w:rPr>
        <w:t xml:space="preserve">The Available Balance meets or exceeds the minimum threshold;</w:t>
      </w:r>
    </w:p>
    <w:p>
      <w:pPr>
        <w:pStyle w:val="ListParagraph"/>
        <w:numPr>
          <w:ilvl w:val="0"/>
          <w:numId w:val="2"/>
        </w:numPr>
        <w:spacing w:after="80" w:line="280"/>
      </w:pPr>
      <w:r>
        <w:rPr>
          <w:rFonts w:ascii="Calibri" w:cs="Calibri" w:eastAsia="Calibri" w:hAnsi="Calibri"/>
          <w:sz w:val="22"/>
          <w:szCs w:val="22"/>
        </w:rPr>
        <w:t xml:space="preserve">No Hold, dispute, investigation, or legal order is pending against the relevant amount.</w:t>
      </w:r>
    </w:p>
    <w:p>
      <w:pPr>
        <w:pStyle w:val="Heading2"/>
        <w:spacing w:after="120" w:before="240" w:line="300"/>
      </w:pPr>
      <w:r>
        <w:rPr>
          <w:rFonts w:ascii="Calibri" w:cs="Calibri" w:eastAsia="Calibri" w:hAnsi="Calibri"/>
          <w:b/>
          <w:bCs/>
          <w:color w:val="2E5496"/>
          <w:sz w:val="26"/>
          <w:szCs w:val="26"/>
        </w:rPr>
        <w:t xml:space="preserve">B. Payout Schedule and Thresholds  [CONFIRM — indicative, consistent with the Creator Agreement]</w:t>
      </w:r>
    </w:p>
    <w:p>
      <w:pPr>
        <w:pStyle w:val="ListParagraph"/>
        <w:numPr>
          <w:ilvl w:val="0"/>
          <w:numId w:val="2"/>
        </w:numPr>
        <w:spacing w:after="80" w:line="280"/>
      </w:pPr>
      <w:r>
        <w:rPr>
          <w:rFonts w:ascii="Calibri" w:cs="Calibri" w:eastAsia="Calibri" w:hAnsi="Calibri"/>
          <w:sz w:val="22"/>
          <w:szCs w:val="22"/>
        </w:rPr>
        <w:t xml:space="preserve">Payout cycle: monthly, processed on or about the [10th] of each month for the prior calendar month's cleared Available Balance;</w:t>
      </w:r>
    </w:p>
    <w:p>
      <w:pPr>
        <w:pStyle w:val="ListParagraph"/>
        <w:numPr>
          <w:ilvl w:val="0"/>
          <w:numId w:val="2"/>
        </w:numPr>
        <w:spacing w:after="80" w:line="280"/>
      </w:pPr>
      <w:r>
        <w:rPr>
          <w:rFonts w:ascii="Calibri" w:cs="Calibri" w:eastAsia="Calibri" w:hAnsi="Calibri"/>
          <w:sz w:val="22"/>
          <w:szCs w:val="22"/>
        </w:rPr>
        <w:t xml:space="preserve">Minimum payout threshold: INR 1,000 / USD 10 or local equivalent; amounts below the threshold roll over to the next cycle;</w:t>
      </w:r>
    </w:p>
    <w:p>
      <w:pPr>
        <w:pStyle w:val="ListParagraph"/>
        <w:numPr>
          <w:ilvl w:val="0"/>
          <w:numId w:val="2"/>
        </w:numPr>
        <w:spacing w:after="80" w:line="280"/>
      </w:pPr>
      <w:r>
        <w:rPr>
          <w:rFonts w:ascii="Calibri" w:cs="Calibri" w:eastAsia="Calibri" w:hAnsi="Calibri"/>
          <w:sz w:val="22"/>
          <w:szCs w:val="22"/>
        </w:rPr>
        <w:t xml:space="preserve">Payouts are made to the Recipient's verified bank account, UPI handle, or supported payout method.</w:t>
      </w:r>
    </w:p>
    <w:p>
      <w:pPr>
        <w:pStyle w:val="Heading2"/>
        <w:spacing w:after="120" w:before="240" w:line="300"/>
      </w:pPr>
      <w:r>
        <w:rPr>
          <w:rFonts w:ascii="Calibri" w:cs="Calibri" w:eastAsia="Calibri" w:hAnsi="Calibri"/>
          <w:b/>
          <w:bCs/>
          <w:color w:val="2E5496"/>
          <w:sz w:val="26"/>
          <w:szCs w:val="26"/>
        </w:rPr>
        <w:t xml:space="preserve">C. Hold Periods  [CONFIRM — indicative, consistent with the Creator Agreement]</w:t>
      </w:r>
    </w:p>
    <w:p>
      <w:pPr>
        <w:pStyle w:val="ListParagraph"/>
        <w:numPr>
          <w:ilvl w:val="0"/>
          <w:numId w:val="2"/>
        </w:numPr>
        <w:spacing w:after="80" w:line="280"/>
      </w:pPr>
      <w:r>
        <w:rPr>
          <w:rFonts w:ascii="Calibri" w:cs="Calibri" w:eastAsia="Calibri" w:hAnsi="Calibri"/>
          <w:sz w:val="22"/>
          <w:szCs w:val="22"/>
        </w:rPr>
        <w:t xml:space="preserve">Standard clearance Hold: [3] business days from transaction settlement (chargeback-risk window; shorter for low-risk instruments such as UPI where supported);</w:t>
      </w:r>
    </w:p>
    <w:p>
      <w:pPr>
        <w:pStyle w:val="ListParagraph"/>
        <w:numPr>
          <w:ilvl w:val="0"/>
          <w:numId w:val="2"/>
        </w:numPr>
        <w:spacing w:after="80" w:line="280"/>
      </w:pPr>
      <w:r>
        <w:rPr>
          <w:rFonts w:ascii="Calibri" w:cs="Calibri" w:eastAsia="Calibri" w:hAnsi="Calibri"/>
          <w:sz w:val="22"/>
          <w:szCs w:val="22"/>
        </w:rPr>
        <w:t xml:space="preserve">Risk-based Hold: up to [30] days for new accounts, high-value transactions, unusual activity, or flagged accounts;</w:t>
      </w:r>
    </w:p>
    <w:p>
      <w:pPr>
        <w:pStyle w:val="ListParagraph"/>
        <w:numPr>
          <w:ilvl w:val="0"/>
          <w:numId w:val="2"/>
        </w:numPr>
        <w:spacing w:after="80" w:line="280"/>
      </w:pPr>
      <w:r>
        <w:rPr>
          <w:rFonts w:ascii="Calibri" w:cs="Calibri" w:eastAsia="Calibri" w:hAnsi="Calibri"/>
          <w:sz w:val="22"/>
          <w:szCs w:val="22"/>
        </w:rPr>
        <w:t xml:space="preserve">Legal Hold: indefinite during a dispute, investigation, regulatory inquiry, or court/government order, limited to the affected amount.</w:t>
      </w:r>
    </w:p>
    <w:p>
      <w:pPr>
        <w:pStyle w:val="Heading2"/>
        <w:spacing w:after="120" w:before="240" w:line="300"/>
      </w:pPr>
      <w:r>
        <w:rPr>
          <w:rFonts w:ascii="Calibri" w:cs="Calibri" w:eastAsia="Calibri" w:hAnsi="Calibri"/>
          <w:b/>
          <w:bCs/>
          <w:color w:val="2E5496"/>
          <w:sz w:val="26"/>
          <w:szCs w:val="26"/>
        </w:rPr>
        <w:t xml:space="preserve">D. Currency and Cross-Border Payouts</w:t>
      </w:r>
    </w:p>
    <w:p>
      <w:pPr>
        <w:pStyle w:val="ListParagraph"/>
        <w:numPr>
          <w:ilvl w:val="0"/>
          <w:numId w:val="2"/>
        </w:numPr>
        <w:spacing w:after="80" w:line="280"/>
      </w:pPr>
      <w:r>
        <w:rPr>
          <w:rFonts w:ascii="Calibri" w:cs="Calibri" w:eastAsia="Calibri" w:hAnsi="Calibri"/>
          <w:sz w:val="22"/>
          <w:szCs w:val="22"/>
        </w:rPr>
        <w:t xml:space="preserve">Default payout currency is Indian Rupees;</w:t>
      </w:r>
    </w:p>
    <w:p>
      <w:pPr>
        <w:pStyle w:val="ListParagraph"/>
        <w:numPr>
          <w:ilvl w:val="0"/>
          <w:numId w:val="2"/>
        </w:numPr>
        <w:spacing w:after="80" w:line="280"/>
      </w:pPr>
      <w:r>
        <w:rPr>
          <w:rFonts w:ascii="Calibri" w:cs="Calibri" w:eastAsia="Calibri" w:hAnsi="Calibri"/>
          <w:sz w:val="22"/>
          <w:szCs w:val="22"/>
        </w:rPr>
        <w:t xml:space="preserve">Cross-border payouts are made via SWIFT or supported corridors, with conversion at the rate disclosed at payout (mid-market plus disclosed spread);</w:t>
      </w:r>
    </w:p>
    <w:p>
      <w:pPr>
        <w:pStyle w:val="ListParagraph"/>
        <w:numPr>
          <w:ilvl w:val="0"/>
          <w:numId w:val="2"/>
        </w:numPr>
        <w:spacing w:after="80" w:line="280"/>
      </w:pPr>
      <w:r>
        <w:rPr>
          <w:rFonts w:ascii="Calibri" w:cs="Calibri" w:eastAsia="Calibri" w:hAnsi="Calibri"/>
          <w:sz w:val="22"/>
          <w:szCs w:val="22"/>
        </w:rPr>
        <w:t xml:space="preserve">Outbound foreign-exchange payouts comply with FEMA, 1999, the Liberalised Remittance Scheme (where applicable), and Form A2 / Form 15CA / Form 15CB requirements.</w:t>
      </w:r>
    </w:p>
    <w:p>
      <w:pPr>
        <w:pStyle w:val="Heading2"/>
        <w:spacing w:after="120" w:before="240" w:line="300"/>
      </w:pPr>
      <w:r>
        <w:rPr>
          <w:rFonts w:ascii="Calibri" w:cs="Calibri" w:eastAsia="Calibri" w:hAnsi="Calibri"/>
          <w:b/>
          <w:bCs/>
          <w:color w:val="2E5496"/>
          <w:sz w:val="26"/>
          <w:szCs w:val="26"/>
        </w:rPr>
        <w:t xml:space="preserve">E. Negative Balances</w:t>
      </w:r>
    </w:p>
    <w:p>
      <w:pPr>
        <w:spacing w:after="120" w:line="300"/>
      </w:pPr>
      <w:r>
        <w:rPr>
          <w:rFonts w:ascii="Calibri" w:cs="Calibri" w:eastAsia="Calibri" w:hAnsi="Calibri"/>
          <w:sz w:val="22"/>
          <w:szCs w:val="22"/>
        </w:rPr>
        <w:t xml:space="preserve">Where refunds, Chargebacks, or reversals exceed a Recipient's Available Balance, the Recipient owes the difference. The Company may:</w:t>
      </w:r>
    </w:p>
    <w:p>
      <w:pPr>
        <w:pStyle w:val="ListParagraph"/>
        <w:numPr>
          <w:ilvl w:val="0"/>
          <w:numId w:val="2"/>
        </w:numPr>
        <w:spacing w:after="80" w:line="280"/>
      </w:pPr>
      <w:r>
        <w:rPr>
          <w:rFonts w:ascii="Calibri" w:cs="Calibri" w:eastAsia="Calibri" w:hAnsi="Calibri"/>
          <w:sz w:val="22"/>
          <w:szCs w:val="22"/>
        </w:rPr>
        <w:t xml:space="preserve">Offset the negative balance against future earnings;</w:t>
      </w:r>
    </w:p>
    <w:p>
      <w:pPr>
        <w:pStyle w:val="ListParagraph"/>
        <w:numPr>
          <w:ilvl w:val="0"/>
          <w:numId w:val="2"/>
        </w:numPr>
        <w:spacing w:after="80" w:line="280"/>
      </w:pPr>
      <w:r>
        <w:rPr>
          <w:rFonts w:ascii="Calibri" w:cs="Calibri" w:eastAsia="Calibri" w:hAnsi="Calibri"/>
          <w:sz w:val="22"/>
          <w:szCs w:val="22"/>
        </w:rPr>
        <w:t xml:space="preserve">Require the Recipient to settle the negative balance;</w:t>
      </w:r>
    </w:p>
    <w:p>
      <w:pPr>
        <w:pStyle w:val="ListParagraph"/>
        <w:numPr>
          <w:ilvl w:val="0"/>
          <w:numId w:val="2"/>
        </w:numPr>
        <w:spacing w:after="80" w:line="280"/>
      </w:pPr>
      <w:r>
        <w:rPr>
          <w:rFonts w:ascii="Calibri" w:cs="Calibri" w:eastAsia="Calibri" w:hAnsi="Calibri"/>
          <w:sz w:val="22"/>
          <w:szCs w:val="22"/>
        </w:rPr>
        <w:t xml:space="preserve">Recover the amount through lawful means, including set-off and, where necessary, legal proceedings.</w:t>
      </w:r>
    </w:p>
    <w:p>
      <w:pPr>
        <w:pStyle w:val="Heading2"/>
        <w:spacing w:after="120" w:before="240" w:line="300"/>
      </w:pPr>
      <w:r>
        <w:rPr>
          <w:rFonts w:ascii="Calibri" w:cs="Calibri" w:eastAsia="Calibri" w:hAnsi="Calibri"/>
          <w:b/>
          <w:bCs/>
          <w:color w:val="2E5496"/>
          <w:sz w:val="26"/>
          <w:szCs w:val="26"/>
        </w:rPr>
        <w:t xml:space="preserve">F. Payout Failures</w:t>
      </w:r>
    </w:p>
    <w:p>
      <w:pPr>
        <w:spacing w:after="120" w:line="300"/>
      </w:pPr>
      <w:r>
        <w:rPr>
          <w:rFonts w:ascii="Calibri" w:cs="Calibri" w:eastAsia="Calibri" w:hAnsi="Calibri"/>
          <w:sz w:val="22"/>
          <w:szCs w:val="22"/>
        </w:rPr>
        <w:t xml:space="preserve">Payouts that fail due to incorrect Recipient bank details, closed accounts, or rejected transfers are returned to the Available Balance for re-attempt once corrected; repeated failures may attract administrative handling fees as disclosed.</w:t>
      </w:r>
    </w:p>
    <w:p>
      <w:pPr>
        <w:pStyle w:val="Heading1"/>
        <w:spacing w:after="180" w:before="360" w:line="300"/>
      </w:pPr>
      <w:r>
        <w:rPr>
          <w:rFonts w:ascii="Calibri" w:cs="Calibri" w:eastAsia="Calibri" w:hAnsi="Calibri"/>
          <w:b/>
          <w:bCs/>
          <w:color w:val="1F3864"/>
          <w:sz w:val="30"/>
          <w:szCs w:val="30"/>
        </w:rPr>
        <w:t xml:space="preserve">10. Taxes</w:t>
      </w:r>
    </w:p>
    <w:p>
      <w:pPr>
        <w:pStyle w:val="Heading2"/>
        <w:spacing w:after="120" w:before="240" w:line="300"/>
      </w:pPr>
      <w:r>
        <w:rPr>
          <w:rFonts w:ascii="Calibri" w:cs="Calibri" w:eastAsia="Calibri" w:hAnsi="Calibri"/>
          <w:b/>
          <w:bCs/>
          <w:color w:val="2E5496"/>
          <w:sz w:val="26"/>
          <w:szCs w:val="26"/>
        </w:rPr>
        <w:t xml:space="preserve">A. TDS — Section 194-O</w:t>
      </w:r>
    </w:p>
    <w:p>
      <w:pPr>
        <w:spacing w:after="120" w:line="300"/>
      </w:pPr>
      <w:r>
        <w:rPr>
          <w:rFonts w:ascii="Calibri" w:cs="Calibri" w:eastAsia="Calibri" w:hAnsi="Calibri"/>
          <w:sz w:val="22"/>
          <w:szCs w:val="22"/>
        </w:rPr>
        <w:t xml:space="preserve">For payouts to Indian Recipients facilitated through the Platform, the Company deducts TDS under Section 194-O of the Income Tax Act, 1961 at the prescribed rate on the gross amount of sales or services facilitated, and at the higher rate under Section 206AA where PAN is not furnished. TDS certificates (Form 16A) are issued as required.</w:t>
      </w:r>
    </w:p>
    <w:p>
      <w:pPr>
        <w:pStyle w:val="Heading2"/>
        <w:spacing w:after="120" w:before="240" w:line="300"/>
      </w:pPr>
      <w:r>
        <w:rPr>
          <w:rFonts w:ascii="Calibri" w:cs="Calibri" w:eastAsia="Calibri" w:hAnsi="Calibri"/>
          <w:b/>
          <w:bCs/>
          <w:color w:val="2E5496"/>
          <w:sz w:val="26"/>
          <w:szCs w:val="26"/>
        </w:rPr>
        <w:t xml:space="preserve">B. TCS — Section 52 CGST</w:t>
      </w:r>
    </w:p>
    <w:p>
      <w:pPr>
        <w:spacing w:after="120" w:line="300"/>
      </w:pPr>
      <w:r>
        <w:rPr>
          <w:rFonts w:ascii="Calibri" w:cs="Calibri" w:eastAsia="Calibri" w:hAnsi="Calibri"/>
          <w:sz w:val="22"/>
          <w:szCs w:val="22"/>
        </w:rPr>
        <w:t xml:space="preserve">The Company collects TCS under Section 52 of the CGST Act, 2017 where applicable, and files the prescribed statements (Form GSTR-8) and issues TCS certificates.</w:t>
      </w:r>
    </w:p>
    <w:p>
      <w:pPr>
        <w:pStyle w:val="Heading2"/>
        <w:spacing w:after="120" w:before="240" w:line="300"/>
      </w:pPr>
      <w:r>
        <w:rPr>
          <w:rFonts w:ascii="Calibri" w:cs="Calibri" w:eastAsia="Calibri" w:hAnsi="Calibri"/>
          <w:b/>
          <w:bCs/>
          <w:color w:val="2E5496"/>
          <w:sz w:val="26"/>
          <w:szCs w:val="26"/>
        </w:rPr>
        <w:t xml:space="preserve">C. GST</w:t>
      </w:r>
    </w:p>
    <w:p>
      <w:pPr>
        <w:spacing w:after="120" w:line="300"/>
      </w:pPr>
      <w:r>
        <w:rPr>
          <w:rFonts w:ascii="Calibri" w:cs="Calibri" w:eastAsia="Calibri" w:hAnsi="Calibri"/>
          <w:sz w:val="22"/>
          <w:szCs w:val="22"/>
        </w:rPr>
        <w:t xml:space="preserve">GST on the Company's fees is charged and remitted as required. Where the Company is the deemed supplier of specified services under the GST framework, GST is collected from the Payer and remitted accordingly.</w:t>
      </w:r>
    </w:p>
    <w:p>
      <w:pPr>
        <w:pStyle w:val="Heading2"/>
        <w:spacing w:after="120" w:before="240" w:line="300"/>
      </w:pPr>
      <w:r>
        <w:rPr>
          <w:rFonts w:ascii="Calibri" w:cs="Calibri" w:eastAsia="Calibri" w:hAnsi="Calibri"/>
          <w:b/>
          <w:bCs/>
          <w:color w:val="2E5496"/>
          <w:sz w:val="26"/>
          <w:szCs w:val="26"/>
        </w:rPr>
        <w:t xml:space="preserve">D. Equalisation Levy</w:t>
      </w:r>
    </w:p>
    <w:p>
      <w:pPr>
        <w:spacing w:after="120" w:line="300"/>
      </w:pPr>
      <w:r>
        <w:rPr>
          <w:rFonts w:ascii="Calibri" w:cs="Calibri" w:eastAsia="Calibri" w:hAnsi="Calibri"/>
          <w:sz w:val="22"/>
          <w:szCs w:val="22"/>
        </w:rPr>
        <w:t xml:space="preserve">For non-resident e-commerce operators and advertisement services, Equalisation Levy under the Finance Act, 2016 is accounted for where applicable.</w:t>
      </w:r>
    </w:p>
    <w:p>
      <w:pPr>
        <w:pStyle w:val="Heading2"/>
        <w:spacing w:after="120" w:before="240" w:line="300"/>
      </w:pPr>
      <w:r>
        <w:rPr>
          <w:rFonts w:ascii="Calibri" w:cs="Calibri" w:eastAsia="Calibri" w:hAnsi="Calibri"/>
          <w:b/>
          <w:bCs/>
          <w:color w:val="2E5496"/>
          <w:sz w:val="26"/>
          <w:szCs w:val="26"/>
        </w:rPr>
        <w:t xml:space="preserve">E. Recipient Tax Documentation</w:t>
      </w:r>
    </w:p>
    <w:p>
      <w:pPr>
        <w:pStyle w:val="ListParagraph"/>
        <w:numPr>
          <w:ilvl w:val="0"/>
          <w:numId w:val="2"/>
        </w:numPr>
        <w:spacing w:after="80" w:line="280"/>
      </w:pPr>
      <w:r>
        <w:rPr>
          <w:rFonts w:ascii="Calibri" w:cs="Calibri" w:eastAsia="Calibri" w:hAnsi="Calibri"/>
          <w:sz w:val="22"/>
          <w:szCs w:val="22"/>
        </w:rPr>
        <w:t xml:space="preserve">Indian Recipients must furnish PAN and (where applicable) GSTIN;</w:t>
      </w:r>
    </w:p>
    <w:p>
      <w:pPr>
        <w:pStyle w:val="ListParagraph"/>
        <w:numPr>
          <w:ilvl w:val="0"/>
          <w:numId w:val="2"/>
        </w:numPr>
        <w:spacing w:after="80" w:line="280"/>
      </w:pPr>
      <w:r>
        <w:rPr>
          <w:rFonts w:ascii="Calibri" w:cs="Calibri" w:eastAsia="Calibri" w:hAnsi="Calibri"/>
          <w:sz w:val="22"/>
          <w:szCs w:val="22"/>
        </w:rPr>
        <w:t xml:space="preserve">Non-resident Recipients must furnish tax-residency documentation; withholding applies per the applicable Double Taxation Avoidance Agreement;</w:t>
      </w:r>
    </w:p>
    <w:p>
      <w:pPr>
        <w:pStyle w:val="ListParagraph"/>
        <w:numPr>
          <w:ilvl w:val="0"/>
          <w:numId w:val="2"/>
        </w:numPr>
        <w:spacing w:after="80" w:line="280"/>
      </w:pPr>
      <w:r>
        <w:rPr>
          <w:rFonts w:ascii="Calibri" w:cs="Calibri" w:eastAsia="Calibri" w:hAnsi="Calibri"/>
          <w:sz w:val="22"/>
          <w:szCs w:val="22"/>
        </w:rPr>
        <w:t xml:space="preserve">Recipients are responsible for their own income tax, GST, and foreign tax obligations.</w:t>
      </w:r>
    </w:p>
    <w:p>
      <w:pPr>
        <w:pStyle w:val="Heading2"/>
        <w:spacing w:after="120" w:before="240" w:line="300"/>
      </w:pPr>
      <w:r>
        <w:rPr>
          <w:rFonts w:ascii="Calibri" w:cs="Calibri" w:eastAsia="Calibri" w:hAnsi="Calibri"/>
          <w:b/>
          <w:bCs/>
          <w:color w:val="2E5496"/>
          <w:sz w:val="26"/>
          <w:szCs w:val="26"/>
        </w:rPr>
        <w:t xml:space="preserve">F. Tax Records</w:t>
      </w:r>
    </w:p>
    <w:p>
      <w:pPr>
        <w:spacing w:after="120" w:line="300"/>
      </w:pPr>
      <w:r>
        <w:rPr>
          <w:rFonts w:ascii="Calibri" w:cs="Calibri" w:eastAsia="Calibri" w:hAnsi="Calibri"/>
          <w:sz w:val="22"/>
          <w:szCs w:val="22"/>
        </w:rPr>
        <w:t xml:space="preserve">Tax records are retained for the periods required under the Income Tax Act, 1961 (Section 44AA) and the CGST Act, 2017 (Section 44).</w:t>
      </w:r>
    </w:p>
    <w:p>
      <w:pPr>
        <w:pStyle w:val="Heading1"/>
        <w:spacing w:after="180" w:before="360" w:line="300"/>
      </w:pPr>
      <w:r>
        <w:rPr>
          <w:rFonts w:ascii="Calibri" w:cs="Calibri" w:eastAsia="Calibri" w:hAnsi="Calibri"/>
          <w:b/>
          <w:bCs/>
          <w:color w:val="1F3864"/>
          <w:sz w:val="30"/>
          <w:szCs w:val="30"/>
        </w:rPr>
        <w:t xml:space="preserve">11. AML, KYC, Sanctions, and Fraud Prevention</w:t>
      </w:r>
    </w:p>
    <w:p>
      <w:pPr>
        <w:pStyle w:val="Heading2"/>
        <w:spacing w:after="120" w:before="240" w:line="300"/>
      </w:pPr>
      <w:r>
        <w:rPr>
          <w:rFonts w:ascii="Calibri" w:cs="Calibri" w:eastAsia="Calibri" w:hAnsi="Calibri"/>
          <w:b/>
          <w:bCs/>
          <w:color w:val="2E5496"/>
          <w:sz w:val="26"/>
          <w:szCs w:val="26"/>
        </w:rPr>
        <w:t xml:space="preserve">A. KYC and AML</w:t>
      </w:r>
    </w:p>
    <w:p>
      <w:pPr>
        <w:spacing w:after="120" w:line="300"/>
      </w:pPr>
      <w:r>
        <w:rPr>
          <w:rFonts w:ascii="Calibri" w:cs="Calibri" w:eastAsia="Calibri" w:hAnsi="Calibri"/>
          <w:sz w:val="22"/>
          <w:szCs w:val="22"/>
        </w:rPr>
        <w:t xml:space="preserve">The Company and its Authorised Payment Partners conduct KYC and AML screening under the Prevention of Money Laundering Act, 2002, the PMLA (Maintenance of Records) Rules, 2005, and the RBI Master Direction on KYC.</w:t>
      </w:r>
    </w:p>
    <w:p>
      <w:pPr>
        <w:pStyle w:val="Heading2"/>
        <w:spacing w:after="120" w:before="240" w:line="300"/>
      </w:pPr>
      <w:r>
        <w:rPr>
          <w:rFonts w:ascii="Calibri" w:cs="Calibri" w:eastAsia="Calibri" w:hAnsi="Calibri"/>
          <w:b/>
          <w:bCs/>
          <w:color w:val="2E5496"/>
          <w:sz w:val="26"/>
          <w:szCs w:val="26"/>
        </w:rPr>
        <w:t xml:space="preserve">B. Sanctions Screening</w:t>
      </w:r>
    </w:p>
    <w:p>
      <w:pPr>
        <w:spacing w:after="120" w:line="300"/>
      </w:pPr>
      <w:r>
        <w:rPr>
          <w:rFonts w:ascii="Calibri" w:cs="Calibri" w:eastAsia="Calibri" w:hAnsi="Calibri"/>
          <w:sz w:val="22"/>
          <w:szCs w:val="22"/>
        </w:rPr>
        <w:t xml:space="preserve">Users and transactions are screened against sanctions lists (UN Security Council 1267, OFAC, EU, UK, MEA). The Company may decline transactions, freeze amounts, and report to authorities (including the Financial Intelligence Unit – India, “FIU-IND”) where required, without prior notice where the law so requires.</w:t>
      </w:r>
    </w:p>
    <w:p>
      <w:pPr>
        <w:pStyle w:val="Heading2"/>
        <w:spacing w:after="120" w:before="240" w:line="300"/>
      </w:pPr>
      <w:r>
        <w:rPr>
          <w:rFonts w:ascii="Calibri" w:cs="Calibri" w:eastAsia="Calibri" w:hAnsi="Calibri"/>
          <w:b/>
          <w:bCs/>
          <w:color w:val="2E5496"/>
          <w:sz w:val="26"/>
          <w:szCs w:val="26"/>
        </w:rPr>
        <w:t xml:space="preserve">C. Suspicious Transactions</w:t>
      </w:r>
    </w:p>
    <w:p>
      <w:pPr>
        <w:spacing w:after="120" w:line="300"/>
      </w:pPr>
      <w:r>
        <w:rPr>
          <w:rFonts w:ascii="Calibri" w:cs="Calibri" w:eastAsia="Calibri" w:hAnsi="Calibri"/>
          <w:sz w:val="22"/>
          <w:szCs w:val="22"/>
        </w:rPr>
        <w:t xml:space="preserve">The Company files Suspicious Transaction Reports and Cash Transaction Reports with FIU-IND as required under the PMLA. The existence or content of such reports is confidential and is not disclosed to the User where prohibited by law.</w:t>
      </w:r>
    </w:p>
    <w:p>
      <w:pPr>
        <w:pStyle w:val="Heading2"/>
        <w:spacing w:after="120" w:before="240" w:line="300"/>
      </w:pPr>
      <w:r>
        <w:rPr>
          <w:rFonts w:ascii="Calibri" w:cs="Calibri" w:eastAsia="Calibri" w:hAnsi="Calibri"/>
          <w:b/>
          <w:bCs/>
          <w:color w:val="2E5496"/>
          <w:sz w:val="26"/>
          <w:szCs w:val="26"/>
        </w:rPr>
        <w:t xml:space="preserve">D. Fraud Holds</w:t>
      </w:r>
    </w:p>
    <w:p>
      <w:pPr>
        <w:spacing w:after="120" w:line="300"/>
      </w:pPr>
      <w:r>
        <w:rPr>
          <w:rFonts w:ascii="Calibri" w:cs="Calibri" w:eastAsia="Calibri" w:hAnsi="Calibri"/>
          <w:sz w:val="22"/>
          <w:szCs w:val="22"/>
        </w:rPr>
        <w:t xml:space="preserve">The Company may place a Hold on, or reverse, any transaction or payout reasonably suspected of fraud, money laundering, or sanctions violation, pending investigation.</w:t>
      </w:r>
    </w:p>
    <w:p>
      <w:pPr>
        <w:pStyle w:val="Heading1"/>
        <w:spacing w:after="180" w:before="360" w:line="300"/>
      </w:pPr>
      <w:r>
        <w:rPr>
          <w:rFonts w:ascii="Calibri" w:cs="Calibri" w:eastAsia="Calibri" w:hAnsi="Calibri"/>
          <w:b/>
          <w:bCs/>
          <w:color w:val="1F3864"/>
          <w:sz w:val="30"/>
          <w:szCs w:val="30"/>
        </w:rPr>
        <w:t xml:space="preserve">12. Wallets, Stored Value, and Virtual Gifts</w:t>
      </w:r>
    </w:p>
    <w:p>
      <w:pPr>
        <w:pStyle w:val="Heading2"/>
        <w:spacing w:after="120" w:before="240" w:line="300"/>
      </w:pPr>
      <w:r>
        <w:rPr>
          <w:rFonts w:ascii="Calibri" w:cs="Calibri" w:eastAsia="Calibri" w:hAnsi="Calibri"/>
          <w:b/>
          <w:bCs/>
          <w:color w:val="2E5496"/>
          <w:sz w:val="26"/>
          <w:szCs w:val="26"/>
        </w:rPr>
        <w:t xml:space="preserve">A. Virtual Gifts and In-App Credits</w:t>
      </w:r>
    </w:p>
    <w:p>
      <w:pPr>
        <w:spacing w:after="120" w:line="300"/>
      </w:pPr>
      <w:r>
        <w:rPr>
          <w:rFonts w:ascii="Calibri" w:cs="Calibri" w:eastAsia="Calibri" w:hAnsi="Calibri"/>
          <w:sz w:val="22"/>
          <w:szCs w:val="22"/>
        </w:rPr>
        <w:t xml:space="preserve">Where the Platform offers virtual gifts, coins, or in-app credits:</w:t>
      </w:r>
    </w:p>
    <w:p>
      <w:pPr>
        <w:pStyle w:val="ListParagraph"/>
        <w:numPr>
          <w:ilvl w:val="0"/>
          <w:numId w:val="2"/>
        </w:numPr>
        <w:spacing w:after="80" w:line="280"/>
      </w:pPr>
      <w:r>
        <w:rPr>
          <w:rFonts w:ascii="Calibri" w:cs="Calibri" w:eastAsia="Calibri" w:hAnsi="Calibri"/>
          <w:sz w:val="22"/>
          <w:szCs w:val="22"/>
        </w:rPr>
        <w:t xml:space="preserve">These are a limited, non-transferable, revocable licence to access a feature, not a deposit, e-money, or stored-value instrument under the Payment and Settlement Systems Act, 2007;</w:t>
      </w:r>
    </w:p>
    <w:p>
      <w:pPr>
        <w:pStyle w:val="ListParagraph"/>
        <w:numPr>
          <w:ilvl w:val="0"/>
          <w:numId w:val="2"/>
        </w:numPr>
        <w:spacing w:after="80" w:line="280"/>
      </w:pPr>
      <w:r>
        <w:rPr>
          <w:rFonts w:ascii="Calibri" w:cs="Calibri" w:eastAsia="Calibri" w:hAnsi="Calibri"/>
          <w:sz w:val="22"/>
          <w:szCs w:val="22"/>
        </w:rPr>
        <w:t xml:space="preserve">They have no cash value to the Payer except as expressly stated, are non-refundable once spent except as required by law, and are not redeemable for cash by the purchasing User;</w:t>
      </w:r>
    </w:p>
    <w:p>
      <w:pPr>
        <w:pStyle w:val="ListParagraph"/>
        <w:numPr>
          <w:ilvl w:val="0"/>
          <w:numId w:val="2"/>
        </w:numPr>
        <w:spacing w:after="80" w:line="280"/>
      </w:pPr>
      <w:r>
        <w:rPr>
          <w:rFonts w:ascii="Calibri" w:cs="Calibri" w:eastAsia="Calibri" w:hAnsi="Calibri"/>
          <w:sz w:val="22"/>
          <w:szCs w:val="22"/>
        </w:rPr>
        <w:t xml:space="preserve">Creator redemption of received virtual gifts into Net Revenue is governed by the Creator Agreement.</w:t>
      </w:r>
    </w:p>
    <w:p>
      <w:pPr>
        <w:pStyle w:val="Heading2"/>
        <w:spacing w:after="120" w:before="240" w:line="300"/>
      </w:pPr>
      <w:r>
        <w:rPr>
          <w:rFonts w:ascii="Calibri" w:cs="Calibri" w:eastAsia="Calibri" w:hAnsi="Calibri"/>
          <w:b/>
          <w:bCs/>
          <w:color w:val="2E5496"/>
          <w:sz w:val="26"/>
          <w:szCs w:val="26"/>
        </w:rPr>
        <w:t xml:space="preserve">B. No Interest</w:t>
      </w:r>
    </w:p>
    <w:p>
      <w:pPr>
        <w:spacing w:after="120" w:line="300"/>
      </w:pPr>
      <w:r>
        <w:rPr>
          <w:rFonts w:ascii="Calibri" w:cs="Calibri" w:eastAsia="Calibri" w:hAnsi="Calibri"/>
          <w:sz w:val="22"/>
          <w:szCs w:val="22"/>
        </w:rPr>
        <w:t xml:space="preserve">No interest accrues to Users or Recipients on any balance, consistent with the Company not operating a deposit-taking or banking function.</w:t>
      </w:r>
    </w:p>
    <w:p>
      <w:pPr>
        <w:pStyle w:val="Heading2"/>
        <w:spacing w:after="120" w:before="240" w:line="300"/>
      </w:pPr>
      <w:r>
        <w:rPr>
          <w:rFonts w:ascii="Calibri" w:cs="Calibri" w:eastAsia="Calibri" w:hAnsi="Calibri"/>
          <w:b/>
          <w:bCs/>
          <w:color w:val="2E5496"/>
          <w:sz w:val="26"/>
          <w:szCs w:val="26"/>
        </w:rPr>
        <w:t xml:space="preserve">C. Prepaid Instruments</w:t>
      </w:r>
    </w:p>
    <w:p>
      <w:pPr>
        <w:spacing w:after="120" w:line="300"/>
      </w:pPr>
      <w:r>
        <w:rPr>
          <w:rFonts w:ascii="Calibri" w:cs="Calibri" w:eastAsia="Calibri" w:hAnsi="Calibri"/>
          <w:sz w:val="22"/>
          <w:szCs w:val="22"/>
        </w:rPr>
        <w:t xml:space="preserve">The Company does not issue prepaid payment instruments (“PPIs”) under the RBI PPI Master Direction unless separately authorised; any future PPI feature would be operated by an RBI-authorised PPI issuer under separate terms.</w:t>
      </w:r>
    </w:p>
    <w:p>
      <w:pPr>
        <w:pStyle w:val="Heading1"/>
        <w:spacing w:after="180" w:before="360" w:line="300"/>
      </w:pPr>
      <w:r>
        <w:rPr>
          <w:rFonts w:ascii="Calibri" w:cs="Calibri" w:eastAsia="Calibri" w:hAnsi="Calibri"/>
          <w:b/>
          <w:bCs/>
          <w:color w:val="1F3864"/>
          <w:sz w:val="30"/>
          <w:szCs w:val="30"/>
        </w:rPr>
        <w:t xml:space="preserve">13. Dormant Balances and Unclaimed Amounts</w:t>
      </w:r>
    </w:p>
    <w:p>
      <w:pPr>
        <w:pStyle w:val="ListParagraph"/>
        <w:numPr>
          <w:ilvl w:val="0"/>
          <w:numId w:val="2"/>
        </w:numPr>
        <w:spacing w:after="80" w:line="280"/>
      </w:pPr>
      <w:r>
        <w:rPr>
          <w:rFonts w:ascii="Calibri" w:cs="Calibri" w:eastAsia="Calibri" w:hAnsi="Calibri"/>
          <w:sz w:val="22"/>
          <w:szCs w:val="22"/>
        </w:rPr>
        <w:t xml:space="preserve">Available Balances below the minimum payout threshold accumulate and roll over;</w:t>
      </w:r>
    </w:p>
    <w:p>
      <w:pPr>
        <w:pStyle w:val="ListParagraph"/>
        <w:numPr>
          <w:ilvl w:val="0"/>
          <w:numId w:val="2"/>
        </w:numPr>
        <w:spacing w:after="80" w:line="280"/>
      </w:pPr>
      <w:r>
        <w:rPr>
          <w:rFonts w:ascii="Calibri" w:cs="Calibri" w:eastAsia="Calibri" w:hAnsi="Calibri"/>
          <w:sz w:val="22"/>
          <w:szCs w:val="22"/>
        </w:rPr>
        <w:t xml:space="preserve">Balances that remain unclaimed and unpayable (e.g., due to persistently invalid payout details or Recipient non-response) for three (3) years are handled in accordance with applicable unclaimed-property and limitation principles, after reasonable notice to the Recipient;</w:t>
      </w:r>
    </w:p>
    <w:p>
      <w:pPr>
        <w:pStyle w:val="ListParagraph"/>
        <w:numPr>
          <w:ilvl w:val="0"/>
          <w:numId w:val="2"/>
        </w:numPr>
        <w:spacing w:after="80" w:line="280"/>
      </w:pPr>
      <w:r>
        <w:rPr>
          <w:rFonts w:ascii="Calibri" w:cs="Calibri" w:eastAsia="Calibri" w:hAnsi="Calibri"/>
          <w:sz w:val="22"/>
          <w:szCs w:val="22"/>
        </w:rPr>
        <w:t xml:space="preserve">The Company does not forfeit cleared Available Balances except as permitted under the Defined Bad Acts provisions of the applicable Role Agreement or as required by law.</w:t>
      </w:r>
    </w:p>
    <w:p>
      <w:pPr>
        <w:pStyle w:val="Heading1"/>
        <w:spacing w:after="180" w:before="360" w:line="300"/>
      </w:pPr>
      <w:r>
        <w:rPr>
          <w:rFonts w:ascii="Calibri" w:cs="Calibri" w:eastAsia="Calibri" w:hAnsi="Calibri"/>
          <w:b/>
          <w:bCs/>
          <w:color w:val="1F3864"/>
          <w:sz w:val="30"/>
          <w:szCs w:val="30"/>
        </w:rPr>
        <w:t xml:space="preserve">14. Records, Statements, and Audit</w:t>
      </w:r>
    </w:p>
    <w:p>
      <w:pPr>
        <w:pStyle w:val="Heading2"/>
        <w:spacing w:after="120" w:before="240" w:line="300"/>
      </w:pPr>
      <w:r>
        <w:rPr>
          <w:rFonts w:ascii="Calibri" w:cs="Calibri" w:eastAsia="Calibri" w:hAnsi="Calibri"/>
          <w:b/>
          <w:bCs/>
          <w:color w:val="2E5496"/>
          <w:sz w:val="26"/>
          <w:szCs w:val="26"/>
        </w:rPr>
        <w:t xml:space="preserve">A. Recipient Statements</w:t>
      </w:r>
    </w:p>
    <w:p>
      <w:pPr>
        <w:spacing w:after="120" w:line="300"/>
      </w:pPr>
      <w:r>
        <w:rPr>
          <w:rFonts w:ascii="Calibri" w:cs="Calibri" w:eastAsia="Calibri" w:hAnsi="Calibri"/>
          <w:sz w:val="22"/>
          <w:szCs w:val="22"/>
        </w:rPr>
        <w:t xml:space="preserve">Recipients have access to a real-time dashboard and monthly statements disclosing Gross Receipts, enumerated deductions, Net Revenue, Revenue Share, Platform Service Fee, taxes deducted, Holds, and net Payout, consistent with Section 8(E) of the Creator Agreement and equivalent provisions of other Role Agreements.</w:t>
      </w:r>
    </w:p>
    <w:p>
      <w:pPr>
        <w:pStyle w:val="Heading2"/>
        <w:spacing w:after="120" w:before="240" w:line="300"/>
      </w:pPr>
      <w:r>
        <w:rPr>
          <w:rFonts w:ascii="Calibri" w:cs="Calibri" w:eastAsia="Calibri" w:hAnsi="Calibri"/>
          <w:b/>
          <w:bCs/>
          <w:color w:val="2E5496"/>
          <w:sz w:val="26"/>
          <w:szCs w:val="26"/>
        </w:rPr>
        <w:t xml:space="preserve">B. Transaction Records</w:t>
      </w:r>
    </w:p>
    <w:p>
      <w:pPr>
        <w:spacing w:after="120" w:line="300"/>
      </w:pPr>
      <w:r>
        <w:rPr>
          <w:rFonts w:ascii="Calibri" w:cs="Calibri" w:eastAsia="Calibri" w:hAnsi="Calibri"/>
          <w:sz w:val="22"/>
          <w:szCs w:val="22"/>
        </w:rPr>
        <w:t xml:space="preserve">The Company maintains transaction records, payout records, tax records, and grievance records for the periods required by the Income Tax Act, 1961, the CGST Act, 2017, the Companies Act, 2013, and the PMLA.</w:t>
      </w:r>
    </w:p>
    <w:p>
      <w:pPr>
        <w:pStyle w:val="Heading2"/>
        <w:spacing w:after="120" w:before="240" w:line="300"/>
      </w:pPr>
      <w:r>
        <w:rPr>
          <w:rFonts w:ascii="Calibri" w:cs="Calibri" w:eastAsia="Calibri" w:hAnsi="Calibri"/>
          <w:b/>
          <w:bCs/>
          <w:color w:val="2E5496"/>
          <w:sz w:val="26"/>
          <w:szCs w:val="26"/>
        </w:rPr>
        <w:t xml:space="preserve">C. Evidentiary Value</w:t>
      </w:r>
    </w:p>
    <w:p>
      <w:pPr>
        <w:spacing w:after="120" w:line="300"/>
      </w:pPr>
      <w:r>
        <w:rPr>
          <w:rFonts w:ascii="Calibri" w:cs="Calibri" w:eastAsia="Calibri" w:hAnsi="Calibri"/>
          <w:sz w:val="22"/>
          <w:szCs w:val="22"/>
        </w:rPr>
        <w:t xml:space="preserve">Electronic records are admissible under Section 65B of the Indian Evidence Act, 1872 (continued under the Bharatiya Sakshya Adhiniyam, 2023).</w:t>
      </w:r>
    </w:p>
    <w:p>
      <w:pPr>
        <w:pStyle w:val="Heading1"/>
        <w:spacing w:after="180" w:before="360" w:line="300"/>
      </w:pPr>
      <w:r>
        <w:rPr>
          <w:rFonts w:ascii="Calibri" w:cs="Calibri" w:eastAsia="Calibri" w:hAnsi="Calibri"/>
          <w:b/>
          <w:bCs/>
          <w:color w:val="1F3864"/>
          <w:sz w:val="30"/>
          <w:szCs w:val="30"/>
        </w:rPr>
        <w:t xml:space="preserve">15. Suspension and Termination of Payment Functions</w:t>
      </w:r>
    </w:p>
    <w:p>
      <w:pPr>
        <w:spacing w:after="120" w:line="300"/>
      </w:pPr>
      <w:r>
        <w:rPr>
          <w:rFonts w:ascii="Calibri" w:cs="Calibri" w:eastAsia="Calibri" w:hAnsi="Calibri"/>
          <w:sz w:val="22"/>
          <w:szCs w:val="22"/>
        </w:rPr>
        <w:t xml:space="preserve">The Company may suspend or restrict a User's payment or payout functions for:</w:t>
      </w:r>
    </w:p>
    <w:p>
      <w:pPr>
        <w:pStyle w:val="ListParagraph"/>
        <w:numPr>
          <w:ilvl w:val="0"/>
          <w:numId w:val="2"/>
        </w:numPr>
        <w:spacing w:after="80" w:line="280"/>
      </w:pPr>
      <w:r>
        <w:rPr>
          <w:rFonts w:ascii="Calibri" w:cs="Calibri" w:eastAsia="Calibri" w:hAnsi="Calibri"/>
          <w:sz w:val="22"/>
          <w:szCs w:val="22"/>
        </w:rPr>
        <w:t xml:space="preserve">Material breach of the Agreement or any Role Agreement;</w:t>
      </w:r>
    </w:p>
    <w:p>
      <w:pPr>
        <w:pStyle w:val="ListParagraph"/>
        <w:numPr>
          <w:ilvl w:val="0"/>
          <w:numId w:val="2"/>
        </w:numPr>
        <w:spacing w:after="80" w:line="280"/>
      </w:pPr>
      <w:r>
        <w:rPr>
          <w:rFonts w:ascii="Calibri" w:cs="Calibri" w:eastAsia="Calibri" w:hAnsi="Calibri"/>
          <w:sz w:val="22"/>
          <w:szCs w:val="22"/>
        </w:rPr>
        <w:t xml:space="preserve">Fraud, money laundering, or sanctions exposure;</w:t>
      </w:r>
    </w:p>
    <w:p>
      <w:pPr>
        <w:pStyle w:val="ListParagraph"/>
        <w:numPr>
          <w:ilvl w:val="0"/>
          <w:numId w:val="2"/>
        </w:numPr>
        <w:spacing w:after="80" w:line="280"/>
      </w:pPr>
      <w:r>
        <w:rPr>
          <w:rFonts w:ascii="Calibri" w:cs="Calibri" w:eastAsia="Calibri" w:hAnsi="Calibri"/>
          <w:sz w:val="22"/>
          <w:szCs w:val="22"/>
        </w:rPr>
        <w:t xml:space="preserve">Excessive chargebacks;</w:t>
      </w:r>
    </w:p>
    <w:p>
      <w:pPr>
        <w:pStyle w:val="ListParagraph"/>
        <w:numPr>
          <w:ilvl w:val="0"/>
          <w:numId w:val="2"/>
        </w:numPr>
        <w:spacing w:after="80" w:line="280"/>
      </w:pPr>
      <w:r>
        <w:rPr>
          <w:rFonts w:ascii="Calibri" w:cs="Calibri" w:eastAsia="Calibri" w:hAnsi="Calibri"/>
          <w:sz w:val="22"/>
          <w:szCs w:val="22"/>
        </w:rPr>
        <w:t xml:space="preserve">Failure to complete KYC or furnish tax documentation;</w:t>
      </w:r>
    </w:p>
    <w:p>
      <w:pPr>
        <w:pStyle w:val="ListParagraph"/>
        <w:numPr>
          <w:ilvl w:val="0"/>
          <w:numId w:val="2"/>
        </w:numPr>
        <w:spacing w:after="80" w:line="280"/>
      </w:pPr>
      <w:r>
        <w:rPr>
          <w:rFonts w:ascii="Calibri" w:cs="Calibri" w:eastAsia="Calibri" w:hAnsi="Calibri"/>
          <w:sz w:val="22"/>
          <w:szCs w:val="22"/>
        </w:rPr>
        <w:t xml:space="preserve">Court, government, or regulatory direction;</w:t>
      </w:r>
    </w:p>
    <w:p>
      <w:pPr>
        <w:pStyle w:val="ListParagraph"/>
        <w:numPr>
          <w:ilvl w:val="0"/>
          <w:numId w:val="2"/>
        </w:numPr>
        <w:spacing w:after="80" w:line="280"/>
      </w:pPr>
      <w:r>
        <w:rPr>
          <w:rFonts w:ascii="Calibri" w:cs="Calibri" w:eastAsia="Calibri" w:hAnsi="Calibri"/>
          <w:sz w:val="22"/>
          <w:szCs w:val="22"/>
        </w:rPr>
        <w:t xml:space="preserve">Risk to the Platform, Users, or Authorised Payment Partners.</w:t>
      </w:r>
    </w:p>
    <w:p>
      <w:pPr>
        <w:spacing w:after="120" w:line="300"/>
      </w:pPr>
      <w:r>
        <w:rPr>
          <w:rFonts w:ascii="Calibri" w:cs="Calibri" w:eastAsia="Calibri" w:hAnsi="Calibri"/>
          <w:sz w:val="22"/>
          <w:szCs w:val="22"/>
        </w:rPr>
        <w:t xml:space="preserve">Suspension is subject to the notice and appeal rights in Section 11(D) of the Terms of Service and Section 16 below, except where immediate action is required by law.</w:t>
      </w:r>
    </w:p>
    <w:p>
      <w:pPr>
        <w:pStyle w:val="Heading1"/>
        <w:spacing w:after="180" w:before="360" w:line="300"/>
      </w:pPr>
      <w:r>
        <w:rPr>
          <w:rFonts w:ascii="Calibri" w:cs="Calibri" w:eastAsia="Calibri" w:hAnsi="Calibri"/>
          <w:b/>
          <w:bCs/>
          <w:color w:val="1F3864"/>
          <w:sz w:val="30"/>
          <w:szCs w:val="30"/>
        </w:rPr>
        <w:t xml:space="preserve">16. Grievance, Appeals, and Dispute Resolution</w:t>
      </w:r>
    </w:p>
    <w:p>
      <w:pPr>
        <w:pStyle w:val="Heading2"/>
        <w:spacing w:after="120" w:before="240" w:line="300"/>
      </w:pPr>
      <w:r>
        <w:rPr>
          <w:rFonts w:ascii="Calibri" w:cs="Calibri" w:eastAsia="Calibri" w:hAnsi="Calibri"/>
          <w:b/>
          <w:bCs/>
          <w:color w:val="2E5496"/>
          <w:sz w:val="26"/>
          <w:szCs w:val="26"/>
        </w:rPr>
        <w:t xml:space="preserve">A. Payment Grievances</w:t>
      </w:r>
    </w:p>
    <w:p>
      <w:pPr>
        <w:pStyle w:val="ListParagraph"/>
        <w:numPr>
          <w:ilvl w:val="0"/>
          <w:numId w:val="2"/>
        </w:numPr>
        <w:spacing w:after="80" w:line="280"/>
      </w:pPr>
      <w:r>
        <w:rPr>
          <w:rFonts w:ascii="Calibri" w:cs="Calibri" w:eastAsia="Calibri" w:hAnsi="Calibri"/>
          <w:sz w:val="22"/>
          <w:szCs w:val="22"/>
        </w:rPr>
        <w:t xml:space="preserve">First-level: Payments Support at payments@riseupcreators.com, acknowledged within forty-eight (48) hours and resolved within fifteen (15) days;</w:t>
      </w:r>
    </w:p>
    <w:p>
      <w:pPr>
        <w:pStyle w:val="ListParagraph"/>
        <w:numPr>
          <w:ilvl w:val="0"/>
          <w:numId w:val="2"/>
        </w:numPr>
        <w:spacing w:after="80" w:line="280"/>
      </w:pPr>
      <w:r>
        <w:rPr>
          <w:rFonts w:ascii="Calibri" w:cs="Calibri" w:eastAsia="Calibri" w:hAnsi="Calibri"/>
          <w:sz w:val="22"/>
          <w:szCs w:val="22"/>
        </w:rPr>
        <w:t xml:space="preserve">Second-level: Grievance Officer under Section 19 of the Terms of Service;</w:t>
      </w:r>
    </w:p>
    <w:p>
      <w:pPr>
        <w:pStyle w:val="ListParagraph"/>
        <w:numPr>
          <w:ilvl w:val="0"/>
          <w:numId w:val="2"/>
        </w:numPr>
        <w:spacing w:after="80" w:line="280"/>
      </w:pPr>
      <w:r>
        <w:rPr>
          <w:rFonts w:ascii="Calibri" w:cs="Calibri" w:eastAsia="Calibri" w:hAnsi="Calibri"/>
          <w:sz w:val="22"/>
          <w:szCs w:val="22"/>
        </w:rPr>
        <w:t xml:space="preserve">RBI escalation: unresolved digital-payment disputes may be escalated to the RBI Ombudsman for Digital Transactions or the relevant banking ombudsman;</w:t>
      </w:r>
    </w:p>
    <w:p>
      <w:pPr>
        <w:pStyle w:val="ListParagraph"/>
        <w:numPr>
          <w:ilvl w:val="0"/>
          <w:numId w:val="2"/>
        </w:numPr>
        <w:spacing w:after="80" w:line="280"/>
      </w:pPr>
      <w:r>
        <w:rPr>
          <w:rFonts w:ascii="Calibri" w:cs="Calibri" w:eastAsia="Calibri" w:hAnsi="Calibri"/>
          <w:sz w:val="22"/>
          <w:szCs w:val="22"/>
        </w:rPr>
        <w:t xml:space="preserve">Consumer escalation: the Consumer Disputes Redressal Commission under the Consumer Protection Act, 2019;</w:t>
      </w:r>
    </w:p>
    <w:p>
      <w:pPr>
        <w:pStyle w:val="ListParagraph"/>
        <w:numPr>
          <w:ilvl w:val="0"/>
          <w:numId w:val="2"/>
        </w:numPr>
        <w:spacing w:after="80" w:line="280"/>
      </w:pPr>
      <w:r>
        <w:rPr>
          <w:rFonts w:ascii="Calibri" w:cs="Calibri" w:eastAsia="Calibri" w:hAnsi="Calibri"/>
          <w:sz w:val="22"/>
          <w:szCs w:val="22"/>
        </w:rPr>
        <w:t xml:space="preserve">Data escalation: the Data Protection Board of India under the DPDP Act, 2023, in matters involving payment-related personal data.</w:t>
      </w:r>
    </w:p>
    <w:p>
      <w:pPr>
        <w:pStyle w:val="Heading2"/>
        <w:spacing w:after="120" w:before="240" w:line="300"/>
      </w:pPr>
      <w:r>
        <w:rPr>
          <w:rFonts w:ascii="Calibri" w:cs="Calibri" w:eastAsia="Calibri" w:hAnsi="Calibri"/>
          <w:b/>
          <w:bCs/>
          <w:color w:val="2E5496"/>
          <w:sz w:val="26"/>
          <w:szCs w:val="26"/>
        </w:rPr>
        <w:t xml:space="preserve">B. Governing Law and Dispute Resolution</w:t>
      </w:r>
    </w:p>
    <w:p>
      <w:pPr>
        <w:spacing w:after="120" w:line="300"/>
      </w:pPr>
      <w:r>
        <w:rPr>
          <w:rFonts w:ascii="Calibri" w:cs="Calibri" w:eastAsia="Calibri" w:hAnsi="Calibri"/>
          <w:sz w:val="22"/>
          <w:szCs w:val="22"/>
        </w:rPr>
        <w:t xml:space="preserve">Governed by the laws of India and subject to the grievance, mediation, and arbitration framework in Section 24 of the Terms of Service; statutory consumer-protection and payment-grievance rights are preserved.</w:t>
      </w:r>
    </w:p>
    <w:p>
      <w:pPr>
        <w:pStyle w:val="Heading1"/>
        <w:spacing w:after="180" w:before="360" w:line="300"/>
      </w:pPr>
      <w:r>
        <w:rPr>
          <w:rFonts w:ascii="Calibri" w:cs="Calibri" w:eastAsia="Calibri" w:hAnsi="Calibri"/>
          <w:b/>
          <w:bCs/>
          <w:color w:val="1F3864"/>
          <w:sz w:val="30"/>
          <w:szCs w:val="30"/>
        </w:rPr>
        <w:t xml:space="preserve">17. Amendments</w:t>
      </w:r>
    </w:p>
    <w:p>
      <w:pPr>
        <w:spacing w:after="120" w:line="300"/>
      </w:pPr>
      <w:r>
        <w:rPr>
          <w:rFonts w:ascii="Calibri" w:cs="Calibri" w:eastAsia="Calibri" w:hAnsi="Calibri"/>
          <w:sz w:val="22"/>
          <w:szCs w:val="22"/>
        </w:rPr>
        <w:t xml:space="preserve">These Payment &amp; Payout Terms may be amended in accordance with Section 22 of the Terms of Service. Material amendments to fees, hold periods, payout schedules, or refund mechanics require prior notice and apply prospectively. Non-material amendments are posted at www.riseupcreators.com/legal/payments with a version log.</w:t>
      </w:r>
    </w:p>
    <w:p>
      <w:pPr>
        <w:pStyle w:val="Heading1"/>
        <w:spacing w:after="180" w:before="360" w:line="300"/>
      </w:pPr>
      <w:r>
        <w:rPr>
          <w:rFonts w:ascii="Calibri" w:cs="Calibri" w:eastAsia="Calibri" w:hAnsi="Calibri"/>
          <w:b/>
          <w:bCs/>
          <w:color w:val="1F3864"/>
          <w:sz w:val="30"/>
          <w:szCs w:val="30"/>
        </w:rPr>
        <w:t xml:space="preserve">Schedule A — Payout Parameters Quick-Reference  [CONFIRM — indicative]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rPr>
          <w:tblHeader/>
        </w:trPr>
        <w:tc>
          <w:tcPr>
            <w:tcW w:type="dxa" w:w="34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Parameter</w:t>
            </w:r>
          </w:p>
        </w:tc>
        <w:tc>
          <w:tcPr>
            <w:tcW w:type="dxa" w:w="59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Indicative Value</w:t>
            </w:r>
          </w:p>
        </w:tc>
      </w:tr>
      <w:tr>
        <w:tc>
          <w:tcPr>
            <w:tcW w:type="dxa" w:w="3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Payout cycle</w:t>
            </w:r>
          </w:p>
        </w:tc>
        <w:tc>
          <w:tcPr>
            <w:tcW w:type="dxa" w:w="5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Monthly, on or about the 10th for the prior month</w:t>
            </w:r>
          </w:p>
        </w:tc>
      </w:tr>
      <w:tr>
        <w:tc>
          <w:tcPr>
            <w:tcW w:type="dxa" w:w="3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Minimum payout threshold</w:t>
            </w:r>
          </w:p>
        </w:tc>
        <w:tc>
          <w:tcPr>
            <w:tcW w:type="dxa" w:w="5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INR 1,000 / USD 10 or local equivalent</w:t>
            </w:r>
          </w:p>
        </w:tc>
      </w:tr>
      <w:tr>
        <w:tc>
          <w:tcPr>
            <w:tcW w:type="dxa" w:w="3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Standard clearance Hold</w:t>
            </w:r>
          </w:p>
        </w:tc>
        <w:tc>
          <w:tcPr>
            <w:tcW w:type="dxa" w:w="5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 business days from settlement</w:t>
            </w:r>
          </w:p>
        </w:tc>
      </w:tr>
      <w:tr>
        <w:tc>
          <w:tcPr>
            <w:tcW w:type="dxa" w:w="3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Risk-based Hold</w:t>
            </w:r>
          </w:p>
        </w:tc>
        <w:tc>
          <w:tcPr>
            <w:tcW w:type="dxa" w:w="5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Up to 30 days (new / high-value / flagged accounts)</w:t>
            </w:r>
          </w:p>
        </w:tc>
      </w:tr>
      <w:tr>
        <w:tc>
          <w:tcPr>
            <w:tcW w:type="dxa" w:w="3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Legal Hold</w:t>
            </w:r>
          </w:p>
        </w:tc>
        <w:tc>
          <w:tcPr>
            <w:tcW w:type="dxa" w:w="5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Duration of dispute / investigation / order (affected amount only)</w:t>
            </w:r>
          </w:p>
        </w:tc>
      </w:tr>
      <w:tr>
        <w:tc>
          <w:tcPr>
            <w:tcW w:type="dxa" w:w="3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Refund processing time</w:t>
            </w:r>
          </w:p>
        </w:tc>
        <w:tc>
          <w:tcPr>
            <w:tcW w:type="dxa" w:w="5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7–10 business days to original method</w:t>
            </w:r>
          </w:p>
        </w:tc>
      </w:tr>
      <w:tr>
        <w:tc>
          <w:tcPr>
            <w:tcW w:type="dxa" w:w="3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Cross-border payout</w:t>
            </w:r>
          </w:p>
        </w:tc>
        <w:tc>
          <w:tcPr>
            <w:tcW w:type="dxa" w:w="5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SWIFT / supported corridors; FEMA + 15CA/15CB compliance</w:t>
            </w:r>
          </w:p>
        </w:tc>
      </w:tr>
      <w:tr>
        <w:tc>
          <w:tcPr>
            <w:tcW w:type="dxa" w:w="3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Dormant-balance handling</w:t>
            </w:r>
          </w:p>
        </w:tc>
        <w:tc>
          <w:tcPr>
            <w:tcW w:type="dxa" w:w="5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Roll-over; unclaimed handling after 3 years with notice</w:t>
            </w:r>
          </w:p>
        </w:tc>
      </w:tr>
    </w:tbl>
    <w:p>
      <w:pPr>
        <w:pStyle w:val="Heading1"/>
        <w:spacing w:after="180" w:before="360" w:line="300"/>
      </w:pPr>
      <w:r>
        <w:rPr>
          <w:rFonts w:ascii="Calibri" w:cs="Calibri" w:eastAsia="Calibri" w:hAnsi="Calibri"/>
          <w:b/>
          <w:bCs/>
          <w:color w:val="1F3864"/>
          <w:sz w:val="30"/>
          <w:szCs w:val="30"/>
        </w:rPr>
        <w:t xml:space="preserve">Schedule B — Payment &amp; Payout Flow (Narrative)</w:t>
      </w:r>
    </w:p>
    <w:p>
      <w:pPr>
        <w:pStyle w:val="ListParagraph"/>
        <w:numPr>
          <w:ilvl w:val="0"/>
          <w:numId w:val="3"/>
        </w:numPr>
        <w:spacing w:after="80" w:line="280"/>
      </w:pPr>
      <w:r>
        <w:rPr>
          <w:rFonts w:ascii="Calibri" w:cs="Calibri" w:eastAsia="Calibri" w:hAnsi="Calibri"/>
          <w:sz w:val="22"/>
          <w:szCs w:val="22"/>
        </w:rPr>
        <w:t xml:space="preserve">Payer initiates a payment at checkout; the Authorised Payment Partner authenticates and collects the payment into the Nodal/Escrow Account.</w:t>
      </w:r>
    </w:p>
    <w:p>
      <w:pPr>
        <w:pStyle w:val="ListParagraph"/>
        <w:numPr>
          <w:ilvl w:val="0"/>
          <w:numId w:val="3"/>
        </w:numPr>
        <w:spacing w:after="80" w:line="280"/>
      </w:pPr>
      <w:r>
        <w:rPr>
          <w:rFonts w:ascii="Calibri" w:cs="Calibri" w:eastAsia="Calibri" w:hAnsi="Calibri"/>
          <w:sz w:val="22"/>
          <w:szCs w:val="22"/>
        </w:rPr>
        <w:t xml:space="preserve">The Company records Gross Receipts and computes Net Revenue under the applicable Role Agreement (enumerated deductions only).</w:t>
      </w:r>
    </w:p>
    <w:p>
      <w:pPr>
        <w:pStyle w:val="ListParagraph"/>
        <w:numPr>
          <w:ilvl w:val="0"/>
          <w:numId w:val="3"/>
        </w:numPr>
        <w:spacing w:after="80" w:line="280"/>
      </w:pPr>
      <w:r>
        <w:rPr>
          <w:rFonts w:ascii="Calibri" w:cs="Calibri" w:eastAsia="Calibri" w:hAnsi="Calibri"/>
          <w:sz w:val="22"/>
          <w:szCs w:val="22"/>
        </w:rPr>
        <w:t xml:space="preserve">The Creator/Merchant/Affiliate/Organizer Revenue Share is computed on Net Revenue; the Platform Service Fee is retained.</w:t>
      </w:r>
    </w:p>
    <w:p>
      <w:pPr>
        <w:pStyle w:val="ListParagraph"/>
        <w:numPr>
          <w:ilvl w:val="0"/>
          <w:numId w:val="3"/>
        </w:numPr>
        <w:spacing w:after="80" w:line="280"/>
      </w:pPr>
      <w:r>
        <w:rPr>
          <w:rFonts w:ascii="Calibri" w:cs="Calibri" w:eastAsia="Calibri" w:hAnsi="Calibri"/>
          <w:sz w:val="22"/>
          <w:szCs w:val="22"/>
        </w:rPr>
        <w:t xml:space="preserve">TDS (§194-O) and, where applicable, TCS (§52 CGST) are applied; GST on Company fees is accounted for.</w:t>
      </w:r>
    </w:p>
    <w:p>
      <w:pPr>
        <w:pStyle w:val="ListParagraph"/>
        <w:numPr>
          <w:ilvl w:val="0"/>
          <w:numId w:val="3"/>
        </w:numPr>
        <w:spacing w:after="80" w:line="280"/>
      </w:pPr>
      <w:r>
        <w:rPr>
          <w:rFonts w:ascii="Calibri" w:cs="Calibri" w:eastAsia="Calibri" w:hAnsi="Calibri"/>
          <w:sz w:val="22"/>
          <w:szCs w:val="22"/>
        </w:rPr>
        <w:t xml:space="preserve">Provisional Earnings are credited to the Recipient, subject to the applicable Hold Period.</w:t>
      </w:r>
    </w:p>
    <w:p>
      <w:pPr>
        <w:pStyle w:val="ListParagraph"/>
        <w:numPr>
          <w:ilvl w:val="0"/>
          <w:numId w:val="3"/>
        </w:numPr>
        <w:spacing w:after="80" w:line="280"/>
      </w:pPr>
      <w:r>
        <w:rPr>
          <w:rFonts w:ascii="Calibri" w:cs="Calibri" w:eastAsia="Calibri" w:hAnsi="Calibri"/>
          <w:sz w:val="22"/>
          <w:szCs w:val="22"/>
        </w:rPr>
        <w:t xml:space="preserve">On clearance, the amount moves to Available Balance.</w:t>
      </w:r>
    </w:p>
    <w:p>
      <w:pPr>
        <w:pStyle w:val="ListParagraph"/>
        <w:numPr>
          <w:ilvl w:val="0"/>
          <w:numId w:val="3"/>
        </w:numPr>
        <w:spacing w:after="80" w:line="280"/>
      </w:pPr>
      <w:r>
        <w:rPr>
          <w:rFonts w:ascii="Calibri" w:cs="Calibri" w:eastAsia="Calibri" w:hAnsi="Calibri"/>
          <w:sz w:val="22"/>
          <w:szCs w:val="22"/>
        </w:rPr>
        <w:t xml:space="preserve">On the monthly payout cycle, where the Available Balance meets the minimum threshold and no Hold/dispute is pending, the Company instructs the Authorised Payment Partner to disburse the Payout, applying FEMA/15CA-CB compliance for cross-border payouts.</w:t>
      </w:r>
    </w:p>
    <w:p>
      <w:pPr>
        <w:pStyle w:val="ListParagraph"/>
        <w:numPr>
          <w:ilvl w:val="0"/>
          <w:numId w:val="3"/>
        </w:numPr>
        <w:spacing w:after="80" w:line="280"/>
      </w:pPr>
      <w:r>
        <w:rPr>
          <w:rFonts w:ascii="Calibri" w:cs="Calibri" w:eastAsia="Calibri" w:hAnsi="Calibri"/>
          <w:sz w:val="22"/>
          <w:szCs w:val="22"/>
        </w:rPr>
        <w:t xml:space="preserve">Statements and tax certificates are made available to the Recipient.</w:t>
      </w:r>
    </w:p>
    <w:p>
      <w:pPr>
        <w:pStyle w:val="Heading1"/>
        <w:spacing w:after="180" w:before="360" w:line="300"/>
      </w:pPr>
      <w:r>
        <w:rPr>
          <w:rFonts w:ascii="Calibri" w:cs="Calibri" w:eastAsia="Calibri" w:hAnsi="Calibri"/>
          <w:b/>
          <w:bCs/>
          <w:color w:val="1F3864"/>
          <w:sz w:val="30"/>
          <w:szCs w:val="30"/>
        </w:rPr>
        <w:t xml:space="preserve">Schedule C — Statutory Compliance Cross-Reference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60"/>
        <w:gridCol w:w="3700"/>
      </w:tblGrid>
      <w:tr>
        <w:trPr>
          <w:tblHeader/>
        </w:trPr>
        <w:tc>
          <w:tcPr>
            <w:tcW w:type="dxa" w:w="56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Statute / Regulation / Guidance</w:t>
            </w:r>
          </w:p>
        </w:tc>
        <w:tc>
          <w:tcPr>
            <w:tcW w:type="dxa" w:w="37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Section in These Terms</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Payment and Settlement Systems Act, 2007</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 scope box</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RBI PA/PG Guidelines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RBI Master Direction on KYC</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§3(B), §11(A)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RBI Card-on-File Tokenisation Guidelines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RBI framework on e-mandates (recurring payments)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RBI Prepaid Payment Instruments (PPI) Master Direction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§12(C)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RBI Ombudsman for Digital Transactions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§8(D), §16(A)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Income Tax Act, 1961, §194-O (TDS)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Income Tax Act, 1961, §206AA (higher TDS absent PAN)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Income Tax Act, 1961, §44AA (records)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§10(F)</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CGST Act, 2017, §52 (TCS); Form GSTR-8</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CGST Act, 2017, §44 (records)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§10(F)</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GST deemed-supplier / OIDAR rules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Finance Act, 2016 (Equalisation Levy)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FEMA, 1999 / LRS / Form A2 / 15CA / 15CB</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§9(D)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Prevention of Money Laundering Act, 2002; PMLA Rules 2005</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§11(A), §11(C)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FIU-IND (STR / CTR reporting)</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§11(C)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Sanctions regimes (UNSC 1267, OFAC, EU, UK, MEA)</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§11(B)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Consumer Protection Act, 2019</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§7(B), §16(A)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Consumer Protection (E-Commerce) Rules, 2020</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CCPA Dark Patterns Guidelines, 2023 (subscription traps)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DPDP Act, 2023 (payment-related personal data)</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§16(A)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Indian Evidence Act, 1872, §65B / Bharatiya Sakshya Adhiniyam, 2023</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Companies Act, 2013 (records)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3A (Grievance Appellate Committee)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§16(A)</w:t>
            </w:r>
          </w:p>
        </w:tc>
      </w:tr>
    </w:tbl>
    <w:p>
      <w:pPr>
        <w:pStyle w:val="Heading1"/>
        <w:spacing w:after="180" w:before="360" w:line="300"/>
      </w:pPr>
      <w:r>
        <w:rPr>
          <w:rFonts w:ascii="Calibri" w:cs="Calibri" w:eastAsia="Calibri" w:hAnsi="Calibri"/>
          <w:b/>
          <w:bCs/>
          <w:color w:val="1F3864"/>
          <w:sz w:val="30"/>
          <w:szCs w:val="30"/>
        </w:rPr>
        <w:t xml:space="preserve">Schedule D — Acknowledgement</w:t>
      </w:r>
    </w:p>
    <w:p>
      <w:pPr>
        <w:spacing w:after="120" w:line="300"/>
      </w:pPr>
      <w:r>
        <w:rPr>
          <w:rFonts w:ascii="Calibri" w:cs="Calibri" w:eastAsia="Calibri" w:hAnsi="Calibri"/>
          <w:sz w:val="22"/>
          <w:szCs w:val="22"/>
        </w:rPr>
        <w:t xml:space="preserve">By transacting on the Platform or receiving payouts, you acknowledge that:</w:t>
      </w:r>
    </w:p>
    <w:p>
      <w:pPr>
        <w:pStyle w:val="ListParagraph"/>
        <w:numPr>
          <w:ilvl w:val="0"/>
          <w:numId w:val="2"/>
        </w:numPr>
        <w:spacing w:after="80" w:line="280"/>
      </w:pPr>
      <w:r>
        <w:rPr>
          <w:rFonts w:ascii="Calibri" w:cs="Calibri" w:eastAsia="Calibri" w:hAnsi="Calibri"/>
          <w:sz w:val="22"/>
          <w:szCs w:val="22"/>
        </w:rPr>
        <w:t xml:space="preserve">The Company is not a bank, payment system operator, or payment aggregator, and all fund-handling is performed by RBI-authorised Authorised Payment Partners;</w:t>
      </w:r>
    </w:p>
    <w:p>
      <w:pPr>
        <w:pStyle w:val="ListParagraph"/>
        <w:numPr>
          <w:ilvl w:val="0"/>
          <w:numId w:val="2"/>
        </w:numPr>
        <w:spacing w:after="80" w:line="280"/>
      </w:pPr>
      <w:r>
        <w:rPr>
          <w:rFonts w:ascii="Calibri" w:cs="Calibri" w:eastAsia="Calibri" w:hAnsi="Calibri"/>
          <w:sz w:val="22"/>
          <w:szCs w:val="22"/>
        </w:rPr>
        <w:t xml:space="preserve">Revenue is provisional until chargeback, refund, and fraud-review windows close, and Hold Periods apply per Section 9;</w:t>
      </w:r>
    </w:p>
    <w:p>
      <w:pPr>
        <w:pStyle w:val="ListParagraph"/>
        <w:numPr>
          <w:ilvl w:val="0"/>
          <w:numId w:val="2"/>
        </w:numPr>
        <w:spacing w:after="80" w:line="280"/>
      </w:pPr>
      <w:r>
        <w:rPr>
          <w:rFonts w:ascii="Calibri" w:cs="Calibri" w:eastAsia="Calibri" w:hAnsi="Calibri"/>
          <w:sz w:val="22"/>
          <w:szCs w:val="22"/>
        </w:rPr>
        <w:t xml:space="preserve">TDS (§194-O), TCS (§52 CGST), GST, and (where applicable) Equalisation Levy are applied as required by law;</w:t>
      </w:r>
    </w:p>
    <w:p>
      <w:pPr>
        <w:pStyle w:val="ListParagraph"/>
        <w:numPr>
          <w:ilvl w:val="0"/>
          <w:numId w:val="2"/>
        </w:numPr>
        <w:spacing w:after="80" w:line="280"/>
      </w:pPr>
      <w:r>
        <w:rPr>
          <w:rFonts w:ascii="Calibri" w:cs="Calibri" w:eastAsia="Calibri" w:hAnsi="Calibri"/>
          <w:sz w:val="22"/>
          <w:szCs w:val="22"/>
        </w:rPr>
        <w:t xml:space="preserve">Cross-border payouts are subject to FEMA, 1999 and 15CA/15CB requirements;</w:t>
      </w:r>
    </w:p>
    <w:p>
      <w:pPr>
        <w:pStyle w:val="ListParagraph"/>
        <w:numPr>
          <w:ilvl w:val="0"/>
          <w:numId w:val="2"/>
        </w:numPr>
        <w:spacing w:after="80" w:line="280"/>
      </w:pPr>
      <w:r>
        <w:rPr>
          <w:rFonts w:ascii="Calibri" w:cs="Calibri" w:eastAsia="Calibri" w:hAnsi="Calibri"/>
          <w:sz w:val="22"/>
          <w:szCs w:val="22"/>
        </w:rPr>
        <w:t xml:space="preserve">Chargeback and negative-balance liability is allocated to the responsible Recipient under Sections 8 and 9;</w:t>
      </w:r>
    </w:p>
    <w:p>
      <w:pPr>
        <w:pStyle w:val="ListParagraph"/>
        <w:numPr>
          <w:ilvl w:val="0"/>
          <w:numId w:val="2"/>
        </w:numPr>
        <w:spacing w:after="80" w:line="280"/>
      </w:pPr>
      <w:r>
        <w:rPr>
          <w:rFonts w:ascii="Calibri" w:cs="Calibri" w:eastAsia="Calibri" w:hAnsi="Calibri"/>
          <w:sz w:val="22"/>
          <w:szCs w:val="22"/>
        </w:rPr>
        <w:t xml:space="preserve">You may escalate unresolved payment grievances to the RBI Ombudsman for Digital Transactions;</w:t>
      </w:r>
    </w:p>
    <w:p>
      <w:pPr>
        <w:pStyle w:val="ListParagraph"/>
        <w:numPr>
          <w:ilvl w:val="0"/>
          <w:numId w:val="2"/>
        </w:numPr>
        <w:spacing w:after="80" w:line="280"/>
      </w:pPr>
      <w:r>
        <w:rPr>
          <w:rFonts w:ascii="Calibri" w:cs="Calibri" w:eastAsia="Calibri" w:hAnsi="Calibri"/>
          <w:sz w:val="22"/>
          <w:szCs w:val="22"/>
        </w:rPr>
        <w:t xml:space="preserve">You retain your statutory rights under the Terms of Service Section 24 and Applicable Law.</w:t>
      </w:r>
    </w:p>
    <w:p>
      <w:pPr>
        <w:spacing w:after="120"/>
      </w:pPr>
      <w:r>
        <w:t xml:space="preserve"/>
      </w:r>
    </w:p>
    <w:p>
      <w:pPr>
        <w:spacing w:after="120" w:before="240"/>
        <w:jc w:val="center"/>
      </w:pPr>
      <w:r>
        <w:rPr>
          <w:rFonts w:ascii="Calibri" w:cs="Calibri" w:eastAsia="Calibri" w:hAnsi="Calibri"/>
          <w:i/>
          <w:iCs/>
          <w:sz w:val="22"/>
          <w:szCs w:val="22"/>
        </w:rPr>
        <w:t xml:space="preserve">— End of Payment &amp; Payout Terms —</w:t>
      </w:r>
    </w:p>
    <w:p>
      <w:pPr>
        <w:spacing w:after="60"/>
        <w:jc w:val="center"/>
      </w:pPr>
      <w:r>
        <w:rPr>
          <w:rFonts w:ascii="Calibri" w:cs="Calibri" w:eastAsia="Calibri" w:hAnsi="Calibri"/>
          <w:sz w:val="20"/>
          <w:szCs w:val="20"/>
        </w:rPr>
        <w:t xml:space="preserve">Sharde Media and Productions Pvt. Ltd. | CIN: U90009BR2023PTC062405 | payments@riseupcreators.com | grievance@riseupcreators.com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08080"/>
        <w:sz w:val="18"/>
        <w:szCs w:val="18"/>
      </w:rPr>
      <w:t xml:space="preserve">Confidential — For internal compliance and regulatory review   |   Page </w:t>
    </w:r>
    <w:r>
      <w:rPr>
        <w:rFonts w:ascii="Calibri" w:cs="Calibri" w:eastAsia="Calibri" w:hAnsi="Calibri"/>
        <w:color w:val="808080"/>
        <w:sz w:val="18"/>
        <w:szCs w:val="18"/>
      </w:rPr>
      <w:fldChar w:fldCharType="begin"/>
      <w:instrText xml:space="preserve">PAGE</w:instrText>
      <w:fldChar w:fldCharType="separate"/>
      <w:fldChar w:fldCharType="end"/>
    </w:r>
    <w:r>
      <w:rPr>
        <w:rFonts w:ascii="Calibri" w:cs="Calibri" w:eastAsia="Calibri" w:hAnsi="Calibri"/>
        <w:color w:val="808080"/>
        <w:sz w:val="18"/>
        <w:szCs w:val="18"/>
      </w:rPr>
      <w:t xml:space="preserve"> of </w:t>
    </w:r>
    <w:r>
      <w:rPr>
        <w:rFonts w:ascii="Calibri" w:cs="Calibri" w:eastAsia="Calibri" w:hAnsi="Calibri"/>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08080"/>
        <w:sz w:val="18"/>
        <w:szCs w:val="18"/>
      </w:rPr>
      <w:t xml:space="preserve">RiseUp Creators — Payment &amp; Payout Terms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120" w:before="240"/>
      <w:outlineLvl w:val="1"/>
    </w:pPr>
    <w:rPr>
      <w:rFonts w:ascii="Calibri" w:cs="Calibri" w:eastAsia="Calibri" w:hAnsi="Calibri"/>
      <w:b/>
      <w:bCs/>
      <w:color w:val="2E549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RiseUp Creators — Payment &amp; Payout Terms v1.0</dc:title>
  <dc:creator>Sharde Media and Productions Pvt. Ltd.</dc:creator>
  <cp:lastModifiedBy>Un-named</cp:lastModifiedBy>
  <cp:revision>1</cp:revision>
  <dcterms:created xsi:type="dcterms:W3CDTF">2026-05-28T08:42:19.373Z</dcterms:created>
  <dcterms:modified xsi:type="dcterms:W3CDTF">2026-05-28T08:42:19.374Z</dcterms:modified>
</cp:coreProperties>
</file>

<file path=docProps/custom.xml><?xml version="1.0" encoding="utf-8"?>
<Properties xmlns="http://schemas.openxmlformats.org/officeDocument/2006/custom-properties" xmlns:vt="http://schemas.openxmlformats.org/officeDocument/2006/docPropsVTypes"/>
</file>