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Calibri" w:cs="Calibri" w:eastAsia="Calibri" w:hAnsi="Calibri"/>
          <w:b/>
          <w:bCs/>
          <w:sz w:val="20"/>
          <w:szCs w:val="20"/>
        </w:rPr>
        <w:t xml:space="preserve">RiseUp Creators — Security &amp; Vulnerability Disclosure Policy   |   Sharde Media and Productions Pvt. Ltd.   |   CERT-In Directions 28 Apr 2022 / DPDP Act 2023 §8(6) / IT Act §43A / §70B</w:t>
      </w:r>
    </w:p>
    <w:p>
      <w:pPr>
        <w:spacing w:after="80" w:before="240"/>
        <w:jc w:val="left"/>
      </w:pPr>
      <w:r>
        <w:rPr>
          <w:rFonts w:ascii="Calibri" w:cs="Calibri" w:eastAsia="Calibri" w:hAnsi="Calibri"/>
          <w:b/>
          <w:bCs/>
          <w:color w:val="1F3864"/>
          <w:sz w:val="32"/>
          <w:szCs w:val="32"/>
        </w:rPr>
        <w:t xml:space="preserve">SECURITY &amp; VULNERABILITY DISCLOSURE POLICY</w:t>
      </w:r>
    </w:p>
    <w:p>
      <w:pPr>
        <w:spacing w:after="120" w:line="300"/>
      </w:pPr>
      <w:r>
        <w:rPr>
          <w:rFonts w:ascii="Calibri" w:cs="Calibri" w:eastAsia="Calibri" w:hAnsi="Calibri"/>
          <w:sz w:val="22"/>
          <w:szCs w:val="22"/>
        </w:rPr>
        <w:t xml:space="preserve">Incident Response, Breach Notification, and Coordinated Vulnerability Disclosure — RiseUp Creators Platform</w:t>
      </w:r>
    </w:p>
    <w:p>
      <w:pPr>
        <w:spacing w:after="120" w:line="300"/>
      </w:pPr>
      <w:r>
        <w:rPr>
          <w:rFonts w:ascii="Calibri" w:cs="Calibri" w:eastAsia="Calibri" w:hAnsi="Calibri"/>
          <w:b/>
          <w:bCs/>
          <w:sz w:val="22"/>
          <w:szCs w:val="22"/>
        </w:rPr>
        <w:t xml:space="preserve">Sharde Media and Productions Pvt. Ltd.</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Legal Entity &amp; Registration Details</w:t>
            </w:r>
          </w:p>
          <w:p>
            <w:pPr>
              <w:spacing w:after="40"/>
            </w:pPr>
            <w:r>
              <w:rPr>
                <w:rFonts w:ascii="Calibri" w:cs="Calibri" w:eastAsia="Calibri" w:hAnsi="Calibri"/>
                <w:sz w:val="22"/>
                <w:szCs w:val="22"/>
              </w:rPr>
              <w:t xml:space="preserve">Company Name: Sharde Media and Productions Pvt. Ltd.</w:t>
            </w:r>
          </w:p>
          <w:p>
            <w:pPr>
              <w:spacing w:after="40"/>
            </w:pPr>
            <w:r>
              <w:rPr>
                <w:rFonts w:ascii="Calibri" w:cs="Calibri" w:eastAsia="Calibri" w:hAnsi="Calibri"/>
                <w:sz w:val="22"/>
                <w:szCs w:val="22"/>
              </w:rPr>
              <w:t xml:space="preserve">CIN: U90009BR2023PTC062405</w:t>
            </w:r>
          </w:p>
          <w:p>
            <w:pPr>
              <w:spacing w:after="40"/>
            </w:pPr>
            <w:r>
              <w:rPr>
                <w:rFonts w:ascii="Calibri" w:cs="Calibri" w:eastAsia="Calibri" w:hAnsi="Calibri"/>
                <w:sz w:val="22"/>
                <w:szCs w:val="22"/>
              </w:rPr>
              <w:t xml:space="preserve">GSTIN: 10ABKCS5322D1ZU</w:t>
            </w:r>
          </w:p>
          <w:p>
            <w:pPr>
              <w:spacing w:after="40"/>
            </w:pPr>
            <w:r>
              <w:rPr>
                <w:rFonts w:ascii="Calibri" w:cs="Calibri" w:eastAsia="Calibri" w:hAnsi="Calibri"/>
                <w:sz w:val="22"/>
                <w:szCs w:val="22"/>
              </w:rPr>
              <w:t xml:space="preserve">Registered Office: Jagriti Nagar, Ashiyana, Patna Aerodome Phulwari, Patna — 800014, Bihar, India</w:t>
            </w:r>
          </w:p>
          <w:p>
            <w:pPr>
              <w:spacing w:after="40"/>
            </w:pPr>
            <w:r>
              <w:rPr>
                <w:rFonts w:ascii="Calibri" w:cs="Calibri" w:eastAsia="Calibri" w:hAnsi="Calibri"/>
                <w:sz w:val="22"/>
                <w:szCs w:val="22"/>
              </w:rPr>
              <w:t xml:space="preserve">Website: www.riseupcreators.com  │  Security Disclosures: security@riseupcreators.com  │  Grievance: grievance@riseupcreators.com</w:t>
            </w:r>
          </w:p>
        </w:tc>
      </w:tr>
    </w:tbl>
    <w:p>
      <w:pPr>
        <w:spacing w:after="120"/>
      </w:pPr>
      <w:r>
        <w:t xml:space="preserve"/>
      </w:r>
    </w:p>
    <w:p>
      <w:pPr>
        <w:spacing w:after="120" w:line="300"/>
      </w:pPr>
      <w:r>
        <w:rPr>
          <w:rFonts w:ascii="Calibri" w:cs="Calibri" w:eastAsia="Calibri" w:hAnsi="Calibri"/>
          <w:sz w:val="22"/>
          <w:szCs w:val="22"/>
        </w:rPr>
        <w:t xml:space="preserve">Effective Date: [Insert Date]   |   Version: 1.0   |   Last Reviewed: [Month Year]</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Scope, Binding Nature, and Three-Function Architecture</w:t>
            </w:r>
          </w:p>
          <w:p>
            <w:pPr>
              <w:spacing w:after="80"/>
            </w:pPr>
            <w:r>
              <w:rPr>
                <w:rFonts w:ascii="Calibri" w:cs="Calibri" w:eastAsia="Calibri" w:hAnsi="Calibri"/>
                <w:sz w:val="22"/>
                <w:szCs w:val="22"/>
              </w:rPr>
              <w:t xml:space="preserve">This Security &amp; Vulnerability Disclosure Policy operationalises Section 4(F) (security obligations) and Section 13 (information security and breach notification) of the Privacy Policy, and Section 4(B) of the Terms of Service, and forms part of the Agreement. It performs three distinct functions: </w:t>
            </w:r>
            <w:r>
              <w:rPr>
                <w:rFonts w:ascii="Calibri" w:cs="Calibri" w:eastAsia="Calibri" w:hAnsi="Calibri"/>
                <w:b/>
                <w:bCs/>
                <w:sz w:val="22"/>
                <w:szCs w:val="22"/>
              </w:rPr>
              <w:t xml:space="preserve">(A) Security Commitments</w:t>
            </w:r>
            <w:r>
              <w:rPr>
                <w:rFonts w:ascii="Calibri" w:cs="Calibri" w:eastAsia="Calibri" w:hAnsi="Calibri"/>
                <w:sz w:val="22"/>
                <w:szCs w:val="22"/>
              </w:rPr>
              <w:t xml:space="preserve"> — describes the technical and organisational measures the Company implements to protect User data and Platform integrity (Section 3); </w:t>
            </w:r>
            <w:r>
              <w:rPr>
                <w:rFonts w:ascii="Calibri" w:cs="Calibri" w:eastAsia="Calibri" w:hAnsi="Calibri"/>
                <w:b/>
                <w:bCs/>
                <w:sz w:val="22"/>
                <w:szCs w:val="22"/>
              </w:rPr>
              <w:t xml:space="preserve">(B) Coordinated Vulnerability Disclosure (CVD)</w:t>
            </w:r>
            <w:r>
              <w:rPr>
                <w:rFonts w:ascii="Calibri" w:cs="Calibri" w:eastAsia="Calibri" w:hAnsi="Calibri"/>
                <w:sz w:val="22"/>
                <w:szCs w:val="22"/>
              </w:rPr>
              <w:t xml:space="preserve"> — provides a lawful, good-faith channel for security researchers to report vulnerabilities, with Safe Harbour protection (Sections 4–7); </w:t>
            </w:r>
            <w:r>
              <w:rPr>
                <w:rFonts w:ascii="Calibri" w:cs="Calibri" w:eastAsia="Calibri" w:hAnsi="Calibri"/>
                <w:b/>
                <w:bCs/>
                <w:sz w:val="22"/>
                <w:szCs w:val="22"/>
              </w:rPr>
              <w:t xml:space="preserve">(C) Incident Response &amp; Breach Notification</w:t>
            </w:r>
            <w:r>
              <w:rPr>
                <w:rFonts w:ascii="Calibri" w:cs="Calibri" w:eastAsia="Calibri" w:hAnsi="Calibri"/>
                <w:sz w:val="22"/>
                <w:szCs w:val="22"/>
              </w:rPr>
              <w:t xml:space="preserve"> — sets out the Platform's obligations to detect, contain, notify, and remediate security incidents, including the CERT-In 6-hour reporting timeline under the Directions of 28 April 2022 and the breach-notification obligations under Section 8(6) of the DPDP Act, 2023 (Sections 8–11).</w:t>
            </w:r>
          </w:p>
          <w:p>
            <w:pPr>
              <w:spacing w:after="0"/>
            </w:pPr>
            <w:r>
              <w:rPr>
                <w:rFonts w:ascii="Calibri" w:cs="Calibri" w:eastAsia="Calibri" w:hAnsi="Calibri"/>
                <w:sz w:val="22"/>
                <w:szCs w:val="22"/>
              </w:rPr>
              <w:t xml:space="preserve">Read together with the Privacy Policy, Terms of Service, Community Guidelines, Cookie Policy, Copyright &amp; IP Policy, and Payment &amp; Payout Terms.</w:t>
            </w:r>
          </w:p>
        </w:tc>
      </w:tr>
    </w:tbl>
    <w:p>
      <w:pPr>
        <w:spacing w:after="120"/>
      </w:pPr>
      <w:r>
        <w:t xml:space="preserve"/>
      </w:r>
    </w:p>
    <w:p>
      <w:pPr>
        <w:pStyle w:val="Heading1"/>
        <w:spacing w:after="180" w:before="360" w:line="300"/>
      </w:pPr>
      <w:r>
        <w:rPr>
          <w:rFonts w:ascii="Calibri" w:cs="Calibri" w:eastAsia="Calibri" w:hAnsi="Calibri"/>
          <w:b/>
          <w:bCs/>
          <w:color w:val="1F3864"/>
          <w:sz w:val="30"/>
          <w:szCs w:val="30"/>
        </w:rPr>
        <w:t xml:space="preserve">1. Purpose, Philosophy, and Interpretive Principles</w:t>
      </w:r>
    </w:p>
    <w:p>
      <w:pPr>
        <w:pStyle w:val="Heading2"/>
        <w:spacing w:after="120" w:before="240" w:line="300"/>
      </w:pPr>
      <w:r>
        <w:rPr>
          <w:rFonts w:ascii="Calibri" w:cs="Calibri" w:eastAsia="Calibri" w:hAnsi="Calibri"/>
          <w:b/>
          <w:bCs/>
          <w:color w:val="2E5496"/>
          <w:sz w:val="26"/>
          <w:szCs w:val="26"/>
        </w:rPr>
        <w:t xml:space="preserve">A. Purpose</w:t>
      </w:r>
    </w:p>
    <w:p>
      <w:pPr>
        <w:spacing w:after="120" w:line="300"/>
      </w:pPr>
      <w:r>
        <w:rPr>
          <w:rFonts w:ascii="Calibri" w:cs="Calibri" w:eastAsia="Calibri" w:hAnsi="Calibri"/>
          <w:sz w:val="22"/>
          <w:szCs w:val="22"/>
        </w:rPr>
        <w:t xml:space="preserve">This Policy is designed to:</w:t>
      </w:r>
    </w:p>
    <w:p>
      <w:pPr>
        <w:pStyle w:val="ListParagraph"/>
        <w:numPr>
          <w:ilvl w:val="0"/>
          <w:numId w:val="2"/>
        </w:numPr>
        <w:spacing w:after="80" w:line="280"/>
      </w:pPr>
      <w:r>
        <w:rPr>
          <w:rFonts w:ascii="Calibri" w:cs="Calibri" w:eastAsia="Calibri" w:hAnsi="Calibri"/>
          <w:sz w:val="22"/>
          <w:szCs w:val="22"/>
        </w:rPr>
        <w:t xml:space="preserve">Set out the Platform's information-security commitments and the technical and organisational measures it implements;</w:t>
      </w:r>
    </w:p>
    <w:p>
      <w:pPr>
        <w:pStyle w:val="ListParagraph"/>
        <w:numPr>
          <w:ilvl w:val="0"/>
          <w:numId w:val="2"/>
        </w:numPr>
        <w:spacing w:after="80" w:line="280"/>
      </w:pPr>
      <w:r>
        <w:rPr>
          <w:rFonts w:ascii="Calibri" w:cs="Calibri" w:eastAsia="Calibri" w:hAnsi="Calibri"/>
          <w:sz w:val="22"/>
          <w:szCs w:val="22"/>
        </w:rPr>
        <w:t xml:space="preserve">Provide a lawful, well-publicised channel for security researchers and third parties to report vulnerabilities to the Platform without fear of legal action for good-faith research;</w:t>
      </w:r>
    </w:p>
    <w:p>
      <w:pPr>
        <w:pStyle w:val="ListParagraph"/>
        <w:numPr>
          <w:ilvl w:val="0"/>
          <w:numId w:val="2"/>
        </w:numPr>
        <w:spacing w:after="80" w:line="280"/>
      </w:pPr>
      <w:r>
        <w:rPr>
          <w:rFonts w:ascii="Calibri" w:cs="Calibri" w:eastAsia="Calibri" w:hAnsi="Calibri"/>
          <w:sz w:val="22"/>
          <w:szCs w:val="22"/>
        </w:rPr>
        <w:t xml:space="preserve">Discharge the Platform's statutory obligations on incident response and breach notification under the DPDP Act, 2023, the IT Act, 2000 and the IT (Reasonable Security Practices and Procedures and Sensitive Personal Data or Information) Rules, 2011 (“SPDI Rules”), the CERT-In Directions of 28 April 2022 issued under §70B of the IT Act, the IT Rules 2021, and (where applicable) the GDPR, the EU NIS2 Directive, and U.S. state breach-notification laws;</w:t>
      </w:r>
    </w:p>
    <w:p>
      <w:pPr>
        <w:pStyle w:val="ListParagraph"/>
        <w:numPr>
          <w:ilvl w:val="0"/>
          <w:numId w:val="2"/>
        </w:numPr>
        <w:spacing w:after="80" w:line="280"/>
      </w:pPr>
      <w:r>
        <w:rPr>
          <w:rFonts w:ascii="Calibri" w:cs="Calibri" w:eastAsia="Calibri" w:hAnsi="Calibri"/>
          <w:sz w:val="22"/>
          <w:szCs w:val="22"/>
        </w:rPr>
        <w:t xml:space="preserve">Govern the Platform's relationship with security vendors, sub-processors, and Authorised Payment Partners on security matters;</w:t>
      </w:r>
    </w:p>
    <w:p>
      <w:pPr>
        <w:pStyle w:val="ListParagraph"/>
        <w:numPr>
          <w:ilvl w:val="0"/>
          <w:numId w:val="2"/>
        </w:numPr>
        <w:spacing w:after="80" w:line="280"/>
      </w:pPr>
      <w:r>
        <w:rPr>
          <w:rFonts w:ascii="Calibri" w:cs="Calibri" w:eastAsia="Calibri" w:hAnsi="Calibri"/>
          <w:sz w:val="22"/>
          <w:szCs w:val="22"/>
        </w:rPr>
        <w:t xml:space="preserve">Provide Users with clear information on what to expect and what to do if a security incident affects them.</w:t>
      </w:r>
    </w:p>
    <w:p>
      <w:pPr>
        <w:pStyle w:val="Heading2"/>
        <w:spacing w:after="120" w:before="240" w:line="300"/>
      </w:pPr>
      <w:r>
        <w:rPr>
          <w:rFonts w:ascii="Calibri" w:cs="Calibri" w:eastAsia="Calibri" w:hAnsi="Calibri"/>
          <w:b/>
          <w:bCs/>
          <w:color w:val="2E5496"/>
          <w:sz w:val="26"/>
          <w:szCs w:val="26"/>
        </w:rPr>
        <w:t xml:space="preserve">B. Philosophy</w:t>
      </w:r>
    </w:p>
    <w:p>
      <w:pPr>
        <w:spacing w:after="120" w:line="300"/>
      </w:pPr>
      <w:r>
        <w:rPr>
          <w:rFonts w:ascii="Calibri" w:cs="Calibri" w:eastAsia="Calibri" w:hAnsi="Calibri"/>
          <w:sz w:val="22"/>
          <w:szCs w:val="22"/>
        </w:rPr>
        <w:t xml:space="preserve">Security is a continuing programme, not a state. The Platform commits to defence-in-depth, least-privilege access, encryption-by-default, structured incident response, and constructive engagement with the security-research community. The most dangerous posture for any platform is to treat external vulnerability reports as adversarial; the Platform treats good-faith researchers as collaborators within the framework of this Policy.</w:t>
      </w:r>
    </w:p>
    <w:p>
      <w:pPr>
        <w:pStyle w:val="Heading2"/>
        <w:spacing w:after="120" w:before="240" w:line="300"/>
      </w:pPr>
      <w:r>
        <w:rPr>
          <w:rFonts w:ascii="Calibri" w:cs="Calibri" w:eastAsia="Calibri" w:hAnsi="Calibri"/>
          <w:b/>
          <w:bCs/>
          <w:color w:val="2E5496"/>
          <w:sz w:val="26"/>
          <w:szCs w:val="26"/>
        </w:rPr>
        <w:t xml:space="preserve">C. Interpretive Principles</w:t>
      </w:r>
    </w:p>
    <w:p>
      <w:pPr>
        <w:pStyle w:val="ListParagraph"/>
        <w:numPr>
          <w:ilvl w:val="0"/>
          <w:numId w:val="2"/>
        </w:numPr>
        <w:spacing w:after="80" w:line="280"/>
      </w:pPr>
      <w:r>
        <w:rPr>
          <w:rFonts w:ascii="Calibri" w:cs="Calibri" w:eastAsia="Calibri" w:hAnsi="Calibri"/>
          <w:b/>
          <w:bCs/>
          <w:sz w:val="22"/>
          <w:szCs w:val="22"/>
        </w:rPr>
        <w:t xml:space="preserve">Statutory timelines are mandatory and unconditional. </w:t>
      </w:r>
      <w:r>
        <w:rPr>
          <w:rFonts w:ascii="Calibri" w:cs="Calibri" w:eastAsia="Calibri" w:hAnsi="Calibri"/>
          <w:sz w:val="22"/>
          <w:szCs w:val="22"/>
        </w:rPr>
        <w:t xml:space="preserve">CERT-In 6-hour reporting under the Directions of 28 April 2022 and DPDP breach notification under §8(6) operate regardless of business inconvenience.</w:t>
      </w:r>
    </w:p>
    <w:p>
      <w:pPr>
        <w:pStyle w:val="ListParagraph"/>
        <w:numPr>
          <w:ilvl w:val="0"/>
          <w:numId w:val="2"/>
        </w:numPr>
        <w:spacing w:after="80" w:line="280"/>
      </w:pPr>
      <w:r>
        <w:rPr>
          <w:rFonts w:ascii="Calibri" w:cs="Calibri" w:eastAsia="Calibri" w:hAnsi="Calibri"/>
          <w:b/>
          <w:bCs/>
          <w:sz w:val="22"/>
          <w:szCs w:val="22"/>
        </w:rPr>
        <w:t xml:space="preserve">Safe Harbour requires good faith. </w:t>
      </w:r>
      <w:r>
        <w:rPr>
          <w:rFonts w:ascii="Calibri" w:cs="Calibri" w:eastAsia="Calibri" w:hAnsi="Calibri"/>
          <w:sz w:val="22"/>
          <w:szCs w:val="22"/>
        </w:rPr>
        <w:t xml:space="preserve">Researchers who comply with the rules of engagement in Section 6 receive the protections of Section 7; researchers who exceed them do not.</w:t>
      </w:r>
    </w:p>
    <w:p>
      <w:pPr>
        <w:pStyle w:val="ListParagraph"/>
        <w:numPr>
          <w:ilvl w:val="0"/>
          <w:numId w:val="2"/>
        </w:numPr>
        <w:spacing w:after="80" w:line="280"/>
      </w:pPr>
      <w:r>
        <w:rPr>
          <w:rFonts w:ascii="Calibri" w:cs="Calibri" w:eastAsia="Calibri" w:hAnsi="Calibri"/>
          <w:b/>
          <w:bCs/>
          <w:sz w:val="22"/>
          <w:szCs w:val="22"/>
        </w:rPr>
        <w:t xml:space="preserve">No general monitoring of researchers. </w:t>
      </w:r>
      <w:r>
        <w:rPr>
          <w:rFonts w:ascii="Calibri" w:cs="Calibri" w:eastAsia="Calibri" w:hAnsi="Calibri"/>
          <w:sz w:val="22"/>
          <w:szCs w:val="22"/>
        </w:rPr>
        <w:t xml:space="preserve">Submission of a vulnerability report does not authorise the Platform to surveil or retaliate against the researcher.</w:t>
      </w:r>
    </w:p>
    <w:p>
      <w:pPr>
        <w:pStyle w:val="ListParagraph"/>
        <w:numPr>
          <w:ilvl w:val="0"/>
          <w:numId w:val="2"/>
        </w:numPr>
        <w:spacing w:after="80" w:line="280"/>
      </w:pPr>
      <w:r>
        <w:rPr>
          <w:rFonts w:ascii="Calibri" w:cs="Calibri" w:eastAsia="Calibri" w:hAnsi="Calibri"/>
          <w:b/>
          <w:bCs/>
          <w:sz w:val="22"/>
          <w:szCs w:val="22"/>
        </w:rPr>
        <w:t xml:space="preserve">No vulnerability extortion or hush payments. </w:t>
      </w:r>
      <w:r>
        <w:rPr>
          <w:rFonts w:ascii="Calibri" w:cs="Calibri" w:eastAsia="Calibri" w:hAnsi="Calibri"/>
          <w:sz w:val="22"/>
          <w:szCs w:val="22"/>
        </w:rPr>
        <w:t xml:space="preserve">The Platform will not pay for silence, will not disguise breaches as bug-bounty payouts, and will not enter into agreements that frustrate statutory notification obligations.</w:t>
      </w:r>
    </w:p>
    <w:p>
      <w:pPr>
        <w:pStyle w:val="ListParagraph"/>
        <w:numPr>
          <w:ilvl w:val="0"/>
          <w:numId w:val="2"/>
        </w:numPr>
        <w:spacing w:after="80" w:line="280"/>
      </w:pPr>
      <w:r>
        <w:rPr>
          <w:rFonts w:ascii="Calibri" w:cs="Calibri" w:eastAsia="Calibri" w:hAnsi="Calibri"/>
          <w:b/>
          <w:bCs/>
          <w:sz w:val="22"/>
          <w:szCs w:val="22"/>
        </w:rPr>
        <w:t xml:space="preserve">Defence-in-depth, not perfection. </w:t>
      </w:r>
      <w:r>
        <w:rPr>
          <w:rFonts w:ascii="Calibri" w:cs="Calibri" w:eastAsia="Calibri" w:hAnsi="Calibri"/>
          <w:sz w:val="22"/>
          <w:szCs w:val="22"/>
        </w:rPr>
        <w:t xml:space="preserve">Security commitments are about reasonable, ongoing measures; the Platform does not warrant absolute security, which is impossible.</w:t>
      </w:r>
    </w:p>
    <w:p>
      <w:pPr>
        <w:pStyle w:val="ListParagraph"/>
        <w:numPr>
          <w:ilvl w:val="0"/>
          <w:numId w:val="2"/>
        </w:numPr>
        <w:spacing w:after="80" w:line="280"/>
      </w:pPr>
      <w:r>
        <w:rPr>
          <w:rFonts w:ascii="Calibri" w:cs="Calibri" w:eastAsia="Calibri" w:hAnsi="Calibri"/>
          <w:b/>
          <w:bCs/>
          <w:sz w:val="22"/>
          <w:szCs w:val="22"/>
        </w:rPr>
        <w:t xml:space="preserve">Transparency where lawful. </w:t>
      </w:r>
      <w:r>
        <w:rPr>
          <w:rFonts w:ascii="Calibri" w:cs="Calibri" w:eastAsia="Calibri" w:hAnsi="Calibri"/>
          <w:sz w:val="22"/>
          <w:szCs w:val="22"/>
        </w:rPr>
        <w:t xml:space="preserve">Aggregate incident metrics are published; specifics of active investigations may be withheld where law enforcement, statutory confidentiality, or third-party harm so require.</w:t>
      </w:r>
    </w:p>
    <w:p>
      <w:pPr>
        <w:pStyle w:val="Heading1"/>
        <w:spacing w:after="180" w:before="360" w:line="300"/>
      </w:pPr>
      <w:r>
        <w:rPr>
          <w:rFonts w:ascii="Calibri" w:cs="Calibri" w:eastAsia="Calibri" w:hAnsi="Calibri"/>
          <w:b/>
          <w:bCs/>
          <w:color w:val="1F3864"/>
          <w:sz w:val="30"/>
          <w:szCs w:val="30"/>
        </w:rPr>
        <w:t xml:space="preserve">2. Definitions</w:t>
      </w:r>
    </w:p>
    <w:p>
      <w:pPr>
        <w:spacing w:after="120" w:line="300"/>
      </w:pPr>
      <w:r>
        <w:rPr>
          <w:rFonts w:ascii="Calibri" w:cs="Calibri" w:eastAsia="Calibri" w:hAnsi="Calibri"/>
          <w:sz w:val="22"/>
          <w:szCs w:val="22"/>
        </w:rPr>
        <w:t xml:space="preserve">In this Policy, terms not defined here have the meanings given in the Terms of Service, Privacy Policy, and other Role Agreements. The following terms apply specifically: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CERT-In</w:t>
      </w:r>
      <w:r>
        <w:rPr>
          <w:rFonts w:ascii="Calibri" w:cs="Calibri" w:eastAsia="Calibri" w:hAnsi="Calibri"/>
          <w:sz w:val="22"/>
          <w:szCs w:val="22"/>
        </w:rPr>
        <w:t xml:space="preserve">” means </w:t>
      </w:r>
      <w:r>
        <w:rPr>
          <w:rFonts w:ascii="Calibri" w:cs="Calibri" w:eastAsia="Calibri" w:hAnsi="Calibri"/>
          <w:sz w:val="22"/>
          <w:szCs w:val="22"/>
        </w:rPr>
        <w:t xml:space="preserve">the Indian Computer Emergency Response Team designated under §70B of the IT Act, 2000.</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CERT-In Directions 2022</w:t>
      </w:r>
      <w:r>
        <w:rPr>
          <w:rFonts w:ascii="Calibri" w:cs="Calibri" w:eastAsia="Calibri" w:hAnsi="Calibri"/>
          <w:sz w:val="22"/>
          <w:szCs w:val="22"/>
        </w:rPr>
        <w:t xml:space="preserve">” means </w:t>
      </w:r>
      <w:r>
        <w:rPr>
          <w:rFonts w:ascii="Calibri" w:cs="Calibri" w:eastAsia="Calibri" w:hAnsi="Calibri"/>
          <w:sz w:val="22"/>
          <w:szCs w:val="22"/>
        </w:rPr>
        <w:t xml:space="preserve">the Directions issued by CERT-In on 28 April 2022 under §70B(6) of the IT Act, including the requirement to report specified cyber incidents within six (6) hours.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CVD</w:t>
      </w:r>
      <w:r>
        <w:rPr>
          <w:rFonts w:ascii="Calibri" w:cs="Calibri" w:eastAsia="Calibri" w:hAnsi="Calibri"/>
          <w:sz w:val="22"/>
          <w:szCs w:val="22"/>
        </w:rPr>
        <w:t xml:space="preserve">” means </w:t>
      </w:r>
      <w:r>
        <w:rPr>
          <w:rFonts w:ascii="Calibri" w:cs="Calibri" w:eastAsia="Calibri" w:hAnsi="Calibri"/>
          <w:sz w:val="22"/>
          <w:szCs w:val="22"/>
        </w:rPr>
        <w:t xml:space="preserve">Coordinated Vulnerability Disclosure under Sections 4–7.</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Cyber Incident” or “Incident</w:t>
      </w:r>
      <w:r>
        <w:rPr>
          <w:rFonts w:ascii="Calibri" w:cs="Calibri" w:eastAsia="Calibri" w:hAnsi="Calibri"/>
          <w:sz w:val="22"/>
          <w:szCs w:val="22"/>
        </w:rPr>
        <w:t xml:space="preserve">” means </w:t>
      </w:r>
      <w:r>
        <w:rPr>
          <w:rFonts w:ascii="Calibri" w:cs="Calibri" w:eastAsia="Calibri" w:hAnsi="Calibri"/>
          <w:sz w:val="22"/>
          <w:szCs w:val="22"/>
        </w:rPr>
        <w:t xml:space="preserve">any actual or reasonably suspected: (a) unauthorised access, use, modification, disclosure, destruction, or loss of Platform systems or data; (b) breach of security leading to compromise of confidentiality, integrity, or availability of Platform systems or data; (c) cyber attack including malware, ransomware, DDoS, account takeover, supply-chain compromise, or social-engineering attack that materially affects Platform operations; (d) other incident listed in Annexure I of the CERT-In Directions 2022.</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Data Breach” or “Personal Data Breach</w:t>
      </w:r>
      <w:r>
        <w:rPr>
          <w:rFonts w:ascii="Calibri" w:cs="Calibri" w:eastAsia="Calibri" w:hAnsi="Calibri"/>
          <w:sz w:val="22"/>
          <w:szCs w:val="22"/>
        </w:rPr>
        <w:t xml:space="preserve">” means </w:t>
      </w:r>
      <w:r>
        <w:rPr>
          <w:rFonts w:ascii="Calibri" w:cs="Calibri" w:eastAsia="Calibri" w:hAnsi="Calibri"/>
          <w:sz w:val="22"/>
          <w:szCs w:val="22"/>
        </w:rPr>
        <w:t xml:space="preserve">a security incident leading to the unauthorised processing of, or accidental disclosure, acquisition, sharing, use, alteration, destruction, or loss of, Personal Data, within the meaning of Section 2(u) of the DPDP Act, 2023.</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Researcher</w:t>
      </w:r>
      <w:r>
        <w:rPr>
          <w:rFonts w:ascii="Calibri" w:cs="Calibri" w:eastAsia="Calibri" w:hAnsi="Calibri"/>
          <w:sz w:val="22"/>
          <w:szCs w:val="22"/>
        </w:rPr>
        <w:t xml:space="preserve">” means </w:t>
      </w:r>
      <w:r>
        <w:rPr>
          <w:rFonts w:ascii="Calibri" w:cs="Calibri" w:eastAsia="Calibri" w:hAnsi="Calibri"/>
          <w:sz w:val="22"/>
          <w:szCs w:val="22"/>
        </w:rPr>
        <w:t xml:space="preserve">a security researcher, ethical hacker, or other third party who reports a vulnerability under this Policy.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Safe Harbour</w:t>
      </w:r>
      <w:r>
        <w:rPr>
          <w:rFonts w:ascii="Calibri" w:cs="Calibri" w:eastAsia="Calibri" w:hAnsi="Calibri"/>
          <w:sz w:val="22"/>
          <w:szCs w:val="22"/>
        </w:rPr>
        <w:t xml:space="preserve">” means </w:t>
      </w:r>
      <w:r>
        <w:rPr>
          <w:rFonts w:ascii="Calibri" w:cs="Calibri" w:eastAsia="Calibri" w:hAnsi="Calibri"/>
          <w:sz w:val="22"/>
          <w:szCs w:val="22"/>
        </w:rPr>
        <w:t xml:space="preserve">the protection afforded to Researchers under Section 7.</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Vulnerability</w:t>
      </w:r>
      <w:r>
        <w:rPr>
          <w:rFonts w:ascii="Calibri" w:cs="Calibri" w:eastAsia="Calibri" w:hAnsi="Calibri"/>
          <w:sz w:val="22"/>
          <w:szCs w:val="22"/>
        </w:rPr>
        <w:t xml:space="preserve">” means </w:t>
      </w:r>
      <w:r>
        <w:rPr>
          <w:rFonts w:ascii="Calibri" w:cs="Calibri" w:eastAsia="Calibri" w:hAnsi="Calibri"/>
          <w:sz w:val="22"/>
          <w:szCs w:val="22"/>
        </w:rPr>
        <w:t xml:space="preserve">a weakness in a Platform system, configuration, code, or process that could be exploited to compromise confidentiality, integrity, or availability of the Platform or User data.</w:t>
      </w:r>
    </w:p>
    <w:p>
      <w:pPr>
        <w:pStyle w:val="Heading1"/>
        <w:spacing w:after="180" w:before="360" w:line="300"/>
      </w:pPr>
      <w:r>
        <w:rPr>
          <w:rFonts w:ascii="Calibri" w:cs="Calibri" w:eastAsia="Calibri" w:hAnsi="Calibri"/>
          <w:b/>
          <w:bCs/>
          <w:color w:val="1F3864"/>
          <w:sz w:val="30"/>
          <w:szCs w:val="30"/>
        </w:rPr>
        <w:t xml:space="preserve">3. Security Commitments — Technical and Organisational Measures</w:t>
      </w:r>
    </w:p>
    <w:p>
      <w:pPr>
        <w:pStyle w:val="Heading2"/>
        <w:spacing w:after="120" w:before="240" w:line="300"/>
      </w:pPr>
      <w:r>
        <w:rPr>
          <w:rFonts w:ascii="Calibri" w:cs="Calibri" w:eastAsia="Calibri" w:hAnsi="Calibri"/>
          <w:b/>
          <w:bCs/>
          <w:color w:val="2E5496"/>
          <w:sz w:val="26"/>
          <w:szCs w:val="26"/>
        </w:rPr>
        <w:t xml:space="preserve">A. General Framework</w:t>
      </w:r>
    </w:p>
    <w:p>
      <w:pPr>
        <w:spacing w:after="120" w:line="300"/>
      </w:pPr>
      <w:r>
        <w:rPr>
          <w:rFonts w:ascii="Calibri" w:cs="Calibri" w:eastAsia="Calibri" w:hAnsi="Calibri"/>
          <w:sz w:val="22"/>
          <w:szCs w:val="22"/>
        </w:rPr>
        <w:t xml:space="preserve">Consistent with §13 of the Privacy Policy, Rule 8 of the SPDI Rules, ISO/IEC 27001 (in principle and where certification is sought), and the NIST Cybersecurity Framework as a reference architecture, the Platform implements:</w:t>
      </w:r>
    </w:p>
    <w:p>
      <w:pPr>
        <w:pStyle w:val="ListParagraph"/>
        <w:numPr>
          <w:ilvl w:val="0"/>
          <w:numId w:val="2"/>
        </w:numPr>
        <w:spacing w:after="80" w:line="280"/>
      </w:pPr>
      <w:r>
        <w:rPr>
          <w:rFonts w:ascii="Calibri" w:cs="Calibri" w:eastAsia="Calibri" w:hAnsi="Calibri"/>
          <w:b/>
          <w:bCs/>
          <w:sz w:val="22"/>
          <w:szCs w:val="22"/>
        </w:rPr>
        <w:t xml:space="preserve">Governance</w:t>
      </w:r>
      <w:r>
        <w:rPr>
          <w:rFonts w:ascii="Calibri" w:cs="Calibri" w:eastAsia="Calibri" w:hAnsi="Calibri"/>
          <w:sz w:val="22"/>
          <w:szCs w:val="22"/>
        </w:rPr>
        <w:t xml:space="preserve"> — a documented Information Security Programme, periodic risk assessment, executive accountability, vendor risk management, and security training for personnel;</w:t>
      </w:r>
    </w:p>
    <w:p>
      <w:pPr>
        <w:pStyle w:val="ListParagraph"/>
        <w:numPr>
          <w:ilvl w:val="0"/>
          <w:numId w:val="2"/>
        </w:numPr>
        <w:spacing w:after="80" w:line="280"/>
      </w:pPr>
      <w:r>
        <w:rPr>
          <w:rFonts w:ascii="Calibri" w:cs="Calibri" w:eastAsia="Calibri" w:hAnsi="Calibri"/>
          <w:b/>
          <w:bCs/>
          <w:sz w:val="22"/>
          <w:szCs w:val="22"/>
        </w:rPr>
        <w:t xml:space="preserve">Access control</w:t>
      </w:r>
      <w:r>
        <w:rPr>
          <w:rFonts w:ascii="Calibri" w:cs="Calibri" w:eastAsia="Calibri" w:hAnsi="Calibri"/>
          <w:sz w:val="22"/>
          <w:szCs w:val="22"/>
        </w:rPr>
        <w:t xml:space="preserve"> — least-privilege role-based access, multi-factor authentication for administrative access, periodic access reviews, and segregation of duties;</w:t>
      </w:r>
    </w:p>
    <w:p>
      <w:pPr>
        <w:pStyle w:val="ListParagraph"/>
        <w:numPr>
          <w:ilvl w:val="0"/>
          <w:numId w:val="2"/>
        </w:numPr>
        <w:spacing w:after="80" w:line="280"/>
      </w:pPr>
      <w:r>
        <w:rPr>
          <w:rFonts w:ascii="Calibri" w:cs="Calibri" w:eastAsia="Calibri" w:hAnsi="Calibri"/>
          <w:b/>
          <w:bCs/>
          <w:sz w:val="22"/>
          <w:szCs w:val="22"/>
        </w:rPr>
        <w:t xml:space="preserve">Cryptography</w:t>
      </w:r>
      <w:r>
        <w:rPr>
          <w:rFonts w:ascii="Calibri" w:cs="Calibri" w:eastAsia="Calibri" w:hAnsi="Calibri"/>
          <w:sz w:val="22"/>
          <w:szCs w:val="22"/>
        </w:rPr>
        <w:t xml:space="preserve"> — TLS 1.2+ in transit; encryption at rest for sensitive datastores; tokenisation of card data via Authorised Payment Partners under RBI Card-on-File Tokenisation Guidelines; key management with rotation and hardware security where appropriate;</w:t>
      </w:r>
    </w:p>
    <w:p>
      <w:pPr>
        <w:pStyle w:val="ListParagraph"/>
        <w:numPr>
          <w:ilvl w:val="0"/>
          <w:numId w:val="2"/>
        </w:numPr>
        <w:spacing w:after="80" w:line="280"/>
      </w:pPr>
      <w:r>
        <w:rPr>
          <w:rFonts w:ascii="Calibri" w:cs="Calibri" w:eastAsia="Calibri" w:hAnsi="Calibri"/>
          <w:b/>
          <w:bCs/>
          <w:sz w:val="22"/>
          <w:szCs w:val="22"/>
        </w:rPr>
        <w:t xml:space="preserve">Application security</w:t>
      </w:r>
      <w:r>
        <w:rPr>
          <w:rFonts w:ascii="Calibri" w:cs="Calibri" w:eastAsia="Calibri" w:hAnsi="Calibri"/>
          <w:sz w:val="22"/>
          <w:szCs w:val="22"/>
        </w:rPr>
        <w:t xml:space="preserve"> — secure SDLC, code review, static and dynamic application security testing, dependency scanning, and pre-release threat modelling for material changes;</w:t>
      </w:r>
    </w:p>
    <w:p>
      <w:pPr>
        <w:pStyle w:val="ListParagraph"/>
        <w:numPr>
          <w:ilvl w:val="0"/>
          <w:numId w:val="2"/>
        </w:numPr>
        <w:spacing w:after="80" w:line="280"/>
      </w:pPr>
      <w:r>
        <w:rPr>
          <w:rFonts w:ascii="Calibri" w:cs="Calibri" w:eastAsia="Calibri" w:hAnsi="Calibri"/>
          <w:b/>
          <w:bCs/>
          <w:sz w:val="22"/>
          <w:szCs w:val="22"/>
        </w:rPr>
        <w:t xml:space="preserve">Infrastructure security</w:t>
      </w:r>
      <w:r>
        <w:rPr>
          <w:rFonts w:ascii="Calibri" w:cs="Calibri" w:eastAsia="Calibri" w:hAnsi="Calibri"/>
          <w:sz w:val="22"/>
          <w:szCs w:val="22"/>
        </w:rPr>
        <w:t xml:space="preserve"> — network segmentation, firewall and WAF protection, hardened baselines, vulnerability scanning, patch management within risk-tiered timelines;</w:t>
      </w:r>
    </w:p>
    <w:p>
      <w:pPr>
        <w:pStyle w:val="ListParagraph"/>
        <w:numPr>
          <w:ilvl w:val="0"/>
          <w:numId w:val="2"/>
        </w:numPr>
        <w:spacing w:after="80" w:line="280"/>
      </w:pPr>
      <w:r>
        <w:rPr>
          <w:rFonts w:ascii="Calibri" w:cs="Calibri" w:eastAsia="Calibri" w:hAnsi="Calibri"/>
          <w:b/>
          <w:bCs/>
          <w:sz w:val="22"/>
          <w:szCs w:val="22"/>
        </w:rPr>
        <w:t xml:space="preserve">Logging and monitoring</w:t>
      </w:r>
      <w:r>
        <w:rPr>
          <w:rFonts w:ascii="Calibri" w:cs="Calibri" w:eastAsia="Calibri" w:hAnsi="Calibri"/>
          <w:sz w:val="22"/>
          <w:szCs w:val="22"/>
        </w:rPr>
        <w:t xml:space="preserve"> — centralised logging, anomaly detection, SIEM-style monitoring, and (per the CERT-In Directions 2022) ICT system-log retention for at least one hundred and eighty (180) days within Indian jurisdiction;</w:t>
      </w:r>
    </w:p>
    <w:p>
      <w:pPr>
        <w:pStyle w:val="ListParagraph"/>
        <w:numPr>
          <w:ilvl w:val="0"/>
          <w:numId w:val="2"/>
        </w:numPr>
        <w:spacing w:after="80" w:line="280"/>
      </w:pPr>
      <w:r>
        <w:rPr>
          <w:rFonts w:ascii="Calibri" w:cs="Calibri" w:eastAsia="Calibri" w:hAnsi="Calibri"/>
          <w:b/>
          <w:bCs/>
          <w:sz w:val="22"/>
          <w:szCs w:val="22"/>
        </w:rPr>
        <w:t xml:space="preserve">Identity and account security</w:t>
      </w:r>
      <w:r>
        <w:rPr>
          <w:rFonts w:ascii="Calibri" w:cs="Calibri" w:eastAsia="Calibri" w:hAnsi="Calibri"/>
          <w:sz w:val="22"/>
          <w:szCs w:val="22"/>
        </w:rPr>
        <w:t xml:space="preserve"> — bot-detection, anomaly detection on authentication, configurable MFA for Users, credential-stuffing defence;</w:t>
      </w:r>
    </w:p>
    <w:p>
      <w:pPr>
        <w:pStyle w:val="ListParagraph"/>
        <w:numPr>
          <w:ilvl w:val="0"/>
          <w:numId w:val="2"/>
        </w:numPr>
        <w:spacing w:after="80" w:line="280"/>
      </w:pPr>
      <w:r>
        <w:rPr>
          <w:rFonts w:ascii="Calibri" w:cs="Calibri" w:eastAsia="Calibri" w:hAnsi="Calibri"/>
          <w:b/>
          <w:bCs/>
          <w:sz w:val="22"/>
          <w:szCs w:val="22"/>
        </w:rPr>
        <w:t xml:space="preserve">Backup and recovery</w:t>
      </w:r>
      <w:r>
        <w:rPr>
          <w:rFonts w:ascii="Calibri" w:cs="Calibri" w:eastAsia="Calibri" w:hAnsi="Calibri"/>
          <w:sz w:val="22"/>
          <w:szCs w:val="22"/>
        </w:rPr>
        <w:t xml:space="preserve"> — periodic backups, restoration testing, and a documented Business Continuity / Disaster Recovery plan;</w:t>
      </w:r>
    </w:p>
    <w:p>
      <w:pPr>
        <w:pStyle w:val="ListParagraph"/>
        <w:numPr>
          <w:ilvl w:val="0"/>
          <w:numId w:val="2"/>
        </w:numPr>
        <w:spacing w:after="80" w:line="280"/>
      </w:pPr>
      <w:r>
        <w:rPr>
          <w:rFonts w:ascii="Calibri" w:cs="Calibri" w:eastAsia="Calibri" w:hAnsi="Calibri"/>
          <w:b/>
          <w:bCs/>
          <w:sz w:val="22"/>
          <w:szCs w:val="22"/>
        </w:rPr>
        <w:t xml:space="preserve">Personnel</w:t>
      </w:r>
      <w:r>
        <w:rPr>
          <w:rFonts w:ascii="Calibri" w:cs="Calibri" w:eastAsia="Calibri" w:hAnsi="Calibri"/>
          <w:sz w:val="22"/>
          <w:szCs w:val="22"/>
        </w:rPr>
        <w:t xml:space="preserve"> — background screening of personnel with access to sensitive data, written confidentiality and security obligations in employment contracts, joiner/mover/leaver provisioning;</w:t>
      </w:r>
    </w:p>
    <w:p>
      <w:pPr>
        <w:pStyle w:val="ListParagraph"/>
        <w:numPr>
          <w:ilvl w:val="0"/>
          <w:numId w:val="2"/>
        </w:numPr>
        <w:spacing w:after="80" w:line="280"/>
      </w:pPr>
      <w:r>
        <w:rPr>
          <w:rFonts w:ascii="Calibri" w:cs="Calibri" w:eastAsia="Calibri" w:hAnsi="Calibri"/>
          <w:b/>
          <w:bCs/>
          <w:sz w:val="22"/>
          <w:szCs w:val="22"/>
        </w:rPr>
        <w:t xml:space="preserve">Vendor and sub-processor management</w:t>
      </w:r>
      <w:r>
        <w:rPr>
          <w:rFonts w:ascii="Calibri" w:cs="Calibri" w:eastAsia="Calibri" w:hAnsi="Calibri"/>
          <w:sz w:val="22"/>
          <w:szCs w:val="22"/>
        </w:rPr>
        <w:t xml:space="preserve"> — security due diligence on critical vendors and sub-processors, Data Processing Agreements (DPAs), and security riders in commercial contracts;</w:t>
      </w:r>
    </w:p>
    <w:p>
      <w:pPr>
        <w:pStyle w:val="ListParagraph"/>
        <w:numPr>
          <w:ilvl w:val="0"/>
          <w:numId w:val="2"/>
        </w:numPr>
        <w:spacing w:after="80" w:line="280"/>
      </w:pPr>
      <w:r>
        <w:rPr>
          <w:rFonts w:ascii="Calibri" w:cs="Calibri" w:eastAsia="Calibri" w:hAnsi="Calibri"/>
          <w:b/>
          <w:bCs/>
          <w:sz w:val="22"/>
          <w:szCs w:val="22"/>
        </w:rPr>
        <w:t xml:space="preserve">Physical security</w:t>
      </w:r>
      <w:r>
        <w:rPr>
          <w:rFonts w:ascii="Calibri" w:cs="Calibri" w:eastAsia="Calibri" w:hAnsi="Calibri"/>
          <w:sz w:val="22"/>
          <w:szCs w:val="22"/>
        </w:rPr>
        <w:t xml:space="preserve"> — colocation and cloud provider commitments, restricted access to production hardware where applicable.</w:t>
      </w:r>
    </w:p>
    <w:p>
      <w:pPr>
        <w:pStyle w:val="Heading2"/>
        <w:spacing w:after="120" w:before="240" w:line="300"/>
      </w:pPr>
      <w:r>
        <w:rPr>
          <w:rFonts w:ascii="Calibri" w:cs="Calibri" w:eastAsia="Calibri" w:hAnsi="Calibri"/>
          <w:b/>
          <w:bCs/>
          <w:color w:val="2E5496"/>
          <w:sz w:val="26"/>
          <w:szCs w:val="26"/>
        </w:rPr>
        <w:t xml:space="preserve">B. Sub-Processor and Vendor Security</w:t>
      </w:r>
    </w:p>
    <w:p>
      <w:pPr>
        <w:spacing w:after="120" w:line="300"/>
      </w:pPr>
      <w:r>
        <w:rPr>
          <w:rFonts w:ascii="Calibri" w:cs="Calibri" w:eastAsia="Calibri" w:hAnsi="Calibri"/>
          <w:sz w:val="22"/>
          <w:szCs w:val="22"/>
        </w:rPr>
        <w:t xml:space="preserve">Critical vendors and sub-processors are subject to security due diligence, contractual obligations to implement appropriate technical and organisational measures, and incident-notification obligations consistent with this Policy. The Privacy Policy lists categories of sub-processors and the cross-border framework.</w:t>
      </w:r>
    </w:p>
    <w:p>
      <w:pPr>
        <w:pStyle w:val="Heading2"/>
        <w:spacing w:after="120" w:before="240" w:line="300"/>
      </w:pPr>
      <w:r>
        <w:rPr>
          <w:rFonts w:ascii="Calibri" w:cs="Calibri" w:eastAsia="Calibri" w:hAnsi="Calibri"/>
          <w:b/>
          <w:bCs/>
          <w:color w:val="2E5496"/>
          <w:sz w:val="26"/>
          <w:szCs w:val="26"/>
        </w:rPr>
        <w:t xml:space="preserve">C. No Absolute Warranty</w:t>
      </w:r>
    </w:p>
    <w:p>
      <w:pPr>
        <w:spacing w:after="120" w:line="300"/>
      </w:pPr>
      <w:r>
        <w:rPr>
          <w:rFonts w:ascii="Calibri" w:cs="Calibri" w:eastAsia="Calibri" w:hAnsi="Calibri"/>
          <w:sz w:val="22"/>
          <w:szCs w:val="22"/>
        </w:rPr>
        <w:t xml:space="preserve">The Platform does not warrant that its security measures are or will remain free from vulnerability or compromise. The commitments in this Section are statements of programme, not absolute guarantees.</w:t>
      </w:r>
    </w:p>
    <w:p>
      <w:pPr>
        <w:pStyle w:val="Heading1"/>
        <w:spacing w:after="180" w:before="360" w:line="300"/>
      </w:pPr>
      <w:r>
        <w:rPr>
          <w:rFonts w:ascii="Calibri" w:cs="Calibri" w:eastAsia="Calibri" w:hAnsi="Calibri"/>
          <w:b/>
          <w:bCs/>
          <w:color w:val="1F3864"/>
          <w:sz w:val="30"/>
          <w:szCs w:val="30"/>
        </w:rPr>
        <w:t xml:space="preserve">4. Coordinated Vulnerability Disclosure — Scope</w:t>
      </w:r>
    </w:p>
    <w:p>
      <w:pPr>
        <w:pStyle w:val="Heading2"/>
        <w:spacing w:after="120" w:before="240" w:line="300"/>
      </w:pPr>
      <w:r>
        <w:rPr>
          <w:rFonts w:ascii="Calibri" w:cs="Calibri" w:eastAsia="Calibri" w:hAnsi="Calibri"/>
          <w:b/>
          <w:bCs/>
          <w:color w:val="2E5496"/>
          <w:sz w:val="26"/>
          <w:szCs w:val="26"/>
        </w:rPr>
        <w:t xml:space="preserve">A. In Scope</w:t>
      </w:r>
    </w:p>
    <w:p>
      <w:pPr>
        <w:spacing w:after="120" w:line="300"/>
      </w:pPr>
      <w:r>
        <w:rPr>
          <w:rFonts w:ascii="Calibri" w:cs="Calibri" w:eastAsia="Calibri" w:hAnsi="Calibri"/>
          <w:sz w:val="22"/>
          <w:szCs w:val="22"/>
        </w:rPr>
        <w:t xml:space="preserve">The CVD programme applies to:</w:t>
      </w:r>
    </w:p>
    <w:p>
      <w:pPr>
        <w:pStyle w:val="ListParagraph"/>
        <w:numPr>
          <w:ilvl w:val="0"/>
          <w:numId w:val="2"/>
        </w:numPr>
        <w:spacing w:after="80" w:line="280"/>
      </w:pPr>
      <w:r>
        <w:rPr>
          <w:rFonts w:ascii="Calibri" w:cs="Calibri" w:eastAsia="Calibri" w:hAnsi="Calibri"/>
          <w:sz w:val="22"/>
          <w:szCs w:val="22"/>
        </w:rPr>
        <w:t xml:space="preserve">The Platform's primary web application at www.riseupcreators.com and its sub-domains;</w:t>
      </w:r>
    </w:p>
    <w:p>
      <w:pPr>
        <w:pStyle w:val="ListParagraph"/>
        <w:numPr>
          <w:ilvl w:val="0"/>
          <w:numId w:val="2"/>
        </w:numPr>
        <w:spacing w:after="80" w:line="280"/>
      </w:pPr>
      <w:r>
        <w:rPr>
          <w:rFonts w:ascii="Calibri" w:cs="Calibri" w:eastAsia="Calibri" w:hAnsi="Calibri"/>
          <w:sz w:val="22"/>
          <w:szCs w:val="22"/>
        </w:rPr>
        <w:t xml:space="preserve">The Platform's mobile applications (iOS and Android) published by Sharde Media and Productions Pvt. Ltd.;</w:t>
      </w:r>
    </w:p>
    <w:p>
      <w:pPr>
        <w:pStyle w:val="ListParagraph"/>
        <w:numPr>
          <w:ilvl w:val="0"/>
          <w:numId w:val="2"/>
        </w:numPr>
        <w:spacing w:after="80" w:line="280"/>
      </w:pPr>
      <w:r>
        <w:rPr>
          <w:rFonts w:ascii="Calibri" w:cs="Calibri" w:eastAsia="Calibri" w:hAnsi="Calibri"/>
          <w:sz w:val="22"/>
          <w:szCs w:val="22"/>
        </w:rPr>
        <w:t xml:space="preserve">Public APIs operated by the Platform;</w:t>
      </w:r>
    </w:p>
    <w:p>
      <w:pPr>
        <w:pStyle w:val="ListParagraph"/>
        <w:numPr>
          <w:ilvl w:val="0"/>
          <w:numId w:val="2"/>
        </w:numPr>
        <w:spacing w:after="80" w:line="280"/>
      </w:pPr>
      <w:r>
        <w:rPr>
          <w:rFonts w:ascii="Calibri" w:cs="Calibri" w:eastAsia="Calibri" w:hAnsi="Calibri"/>
          <w:sz w:val="22"/>
          <w:szCs w:val="22"/>
        </w:rPr>
        <w:t xml:space="preserve">Authentication, payment-handling integrations, and other security-critical surfaces of the Platform.</w:t>
      </w:r>
    </w:p>
    <w:p>
      <w:pPr>
        <w:pStyle w:val="Heading2"/>
        <w:spacing w:after="120" w:before="240" w:line="300"/>
      </w:pPr>
      <w:r>
        <w:rPr>
          <w:rFonts w:ascii="Calibri" w:cs="Calibri" w:eastAsia="Calibri" w:hAnsi="Calibri"/>
          <w:b/>
          <w:bCs/>
          <w:color w:val="2E5496"/>
          <w:sz w:val="26"/>
          <w:szCs w:val="26"/>
        </w:rPr>
        <w:t xml:space="preserve">B. Out of Scope</w:t>
      </w:r>
    </w:p>
    <w:p>
      <w:pPr>
        <w:spacing w:after="120" w:line="300"/>
      </w:pPr>
      <w:r>
        <w:rPr>
          <w:rFonts w:ascii="Calibri" w:cs="Calibri" w:eastAsia="Calibri" w:hAnsi="Calibri"/>
          <w:sz w:val="22"/>
          <w:szCs w:val="22"/>
        </w:rPr>
        <w:t xml:space="preserve">The CVD programme does not authorise testing against:</w:t>
      </w:r>
    </w:p>
    <w:p>
      <w:pPr>
        <w:pStyle w:val="ListParagraph"/>
        <w:numPr>
          <w:ilvl w:val="0"/>
          <w:numId w:val="2"/>
        </w:numPr>
        <w:spacing w:after="80" w:line="280"/>
      </w:pPr>
      <w:r>
        <w:rPr>
          <w:rFonts w:ascii="Calibri" w:cs="Calibri" w:eastAsia="Calibri" w:hAnsi="Calibri"/>
          <w:sz w:val="22"/>
          <w:szCs w:val="22"/>
        </w:rPr>
        <w:t xml:space="preserve">Third-party systems and services not operated by the Platform (e.g., Authorised Payment Partners, cloud-provider control planes, third-party APIs the Platform consumes);</w:t>
      </w:r>
    </w:p>
    <w:p>
      <w:pPr>
        <w:pStyle w:val="ListParagraph"/>
        <w:numPr>
          <w:ilvl w:val="0"/>
          <w:numId w:val="2"/>
        </w:numPr>
        <w:spacing w:after="80" w:line="280"/>
      </w:pPr>
      <w:r>
        <w:rPr>
          <w:rFonts w:ascii="Calibri" w:cs="Calibri" w:eastAsia="Calibri" w:hAnsi="Calibri"/>
          <w:sz w:val="22"/>
          <w:szCs w:val="22"/>
        </w:rPr>
        <w:t xml:space="preserve">Other Users' Accounts, content, or data;</w:t>
      </w:r>
    </w:p>
    <w:p>
      <w:pPr>
        <w:pStyle w:val="ListParagraph"/>
        <w:numPr>
          <w:ilvl w:val="0"/>
          <w:numId w:val="2"/>
        </w:numPr>
        <w:spacing w:after="80" w:line="280"/>
      </w:pPr>
      <w:r>
        <w:rPr>
          <w:rFonts w:ascii="Calibri" w:cs="Calibri" w:eastAsia="Calibri" w:hAnsi="Calibri"/>
          <w:sz w:val="22"/>
          <w:szCs w:val="22"/>
        </w:rPr>
        <w:t xml:space="preserve">Physical security of premises;</w:t>
      </w:r>
    </w:p>
    <w:p>
      <w:pPr>
        <w:pStyle w:val="ListParagraph"/>
        <w:numPr>
          <w:ilvl w:val="0"/>
          <w:numId w:val="2"/>
        </w:numPr>
        <w:spacing w:after="80" w:line="280"/>
      </w:pPr>
      <w:r>
        <w:rPr>
          <w:rFonts w:ascii="Calibri" w:cs="Calibri" w:eastAsia="Calibri" w:hAnsi="Calibri"/>
          <w:sz w:val="22"/>
          <w:szCs w:val="22"/>
        </w:rPr>
        <w:t xml:space="preserve">Social engineering of Platform personnel except as expressly invited;</w:t>
      </w:r>
    </w:p>
    <w:p>
      <w:pPr>
        <w:pStyle w:val="ListParagraph"/>
        <w:numPr>
          <w:ilvl w:val="0"/>
          <w:numId w:val="2"/>
        </w:numPr>
        <w:spacing w:after="80" w:line="280"/>
      </w:pPr>
      <w:r>
        <w:rPr>
          <w:rFonts w:ascii="Calibri" w:cs="Calibri" w:eastAsia="Calibri" w:hAnsi="Calibri"/>
          <w:sz w:val="22"/>
          <w:szCs w:val="22"/>
        </w:rPr>
        <w:t xml:space="preserve">Denial-of-service or volumetric attacks;</w:t>
      </w:r>
    </w:p>
    <w:p>
      <w:pPr>
        <w:pStyle w:val="ListParagraph"/>
        <w:numPr>
          <w:ilvl w:val="0"/>
          <w:numId w:val="2"/>
        </w:numPr>
        <w:spacing w:after="80" w:line="280"/>
      </w:pPr>
      <w:r>
        <w:rPr>
          <w:rFonts w:ascii="Calibri" w:cs="Calibri" w:eastAsia="Calibri" w:hAnsi="Calibri"/>
          <w:sz w:val="22"/>
          <w:szCs w:val="22"/>
        </w:rPr>
        <w:t xml:space="preserve">Spam, mass-mailing, or generation of unsolicited communications;</w:t>
      </w:r>
    </w:p>
    <w:p>
      <w:pPr>
        <w:pStyle w:val="ListParagraph"/>
        <w:numPr>
          <w:ilvl w:val="0"/>
          <w:numId w:val="2"/>
        </w:numPr>
        <w:spacing w:after="80" w:line="280"/>
      </w:pPr>
      <w:r>
        <w:rPr>
          <w:rFonts w:ascii="Calibri" w:cs="Calibri" w:eastAsia="Calibri" w:hAnsi="Calibri"/>
          <w:sz w:val="22"/>
          <w:szCs w:val="22"/>
        </w:rPr>
        <w:t xml:space="preserve">Cookies of, or content protected by, third-party CDNs and tag-management services beyond the Platform's control.</w:t>
      </w:r>
    </w:p>
    <w:p>
      <w:pPr>
        <w:pStyle w:val="Heading2"/>
        <w:spacing w:after="120" w:before="240" w:line="300"/>
      </w:pPr>
      <w:r>
        <w:rPr>
          <w:rFonts w:ascii="Calibri" w:cs="Calibri" w:eastAsia="Calibri" w:hAnsi="Calibri"/>
          <w:b/>
          <w:bCs/>
          <w:color w:val="2E5496"/>
          <w:sz w:val="26"/>
          <w:szCs w:val="26"/>
        </w:rPr>
        <w:t xml:space="preserve">C. Excluded Issue Classes (Generally Not Eligible)</w:t>
      </w:r>
    </w:p>
    <w:p>
      <w:pPr>
        <w:spacing w:after="120" w:line="300"/>
      </w:pPr>
      <w:r>
        <w:rPr>
          <w:rFonts w:ascii="Calibri" w:cs="Calibri" w:eastAsia="Calibri" w:hAnsi="Calibri"/>
          <w:sz w:val="22"/>
          <w:szCs w:val="22"/>
        </w:rPr>
        <w:t xml:space="preserve">The following are generally not treated as eligible vulnerabilities under this Policy, unless they materially demonstrate a security impact:</w:t>
      </w:r>
    </w:p>
    <w:p>
      <w:pPr>
        <w:pStyle w:val="ListParagraph"/>
        <w:numPr>
          <w:ilvl w:val="0"/>
          <w:numId w:val="2"/>
        </w:numPr>
        <w:spacing w:after="80" w:line="280"/>
      </w:pPr>
      <w:r>
        <w:rPr>
          <w:rFonts w:ascii="Calibri" w:cs="Calibri" w:eastAsia="Calibri" w:hAnsi="Calibri"/>
          <w:sz w:val="22"/>
          <w:szCs w:val="22"/>
        </w:rPr>
        <w:t xml:space="preserve">Reports generated solely by automated scanners without manual validation;</w:t>
      </w:r>
    </w:p>
    <w:p>
      <w:pPr>
        <w:pStyle w:val="ListParagraph"/>
        <w:numPr>
          <w:ilvl w:val="0"/>
          <w:numId w:val="2"/>
        </w:numPr>
        <w:spacing w:after="80" w:line="280"/>
      </w:pPr>
      <w:r>
        <w:rPr>
          <w:rFonts w:ascii="Calibri" w:cs="Calibri" w:eastAsia="Calibri" w:hAnsi="Calibri"/>
          <w:sz w:val="22"/>
          <w:szCs w:val="22"/>
        </w:rPr>
        <w:t xml:space="preserve">Self-XSS that requires the victim's deliberate action;</w:t>
      </w:r>
    </w:p>
    <w:p>
      <w:pPr>
        <w:pStyle w:val="ListParagraph"/>
        <w:numPr>
          <w:ilvl w:val="0"/>
          <w:numId w:val="2"/>
        </w:numPr>
        <w:spacing w:after="80" w:line="280"/>
      </w:pPr>
      <w:r>
        <w:rPr>
          <w:rFonts w:ascii="Calibri" w:cs="Calibri" w:eastAsia="Calibri" w:hAnsi="Calibri"/>
          <w:sz w:val="22"/>
          <w:szCs w:val="22"/>
        </w:rPr>
        <w:t xml:space="preserve">Missing HTTP security headers without demonstrated impact;</w:t>
      </w:r>
    </w:p>
    <w:p>
      <w:pPr>
        <w:pStyle w:val="ListParagraph"/>
        <w:numPr>
          <w:ilvl w:val="0"/>
          <w:numId w:val="2"/>
        </w:numPr>
        <w:spacing w:after="80" w:line="280"/>
      </w:pPr>
      <w:r>
        <w:rPr>
          <w:rFonts w:ascii="Calibri" w:cs="Calibri" w:eastAsia="Calibri" w:hAnsi="Calibri"/>
          <w:sz w:val="22"/>
          <w:szCs w:val="22"/>
        </w:rPr>
        <w:t xml:space="preserve">Issues affecting only out-of-date browsers or end-of-life platforms;</w:t>
      </w:r>
    </w:p>
    <w:p>
      <w:pPr>
        <w:pStyle w:val="ListParagraph"/>
        <w:numPr>
          <w:ilvl w:val="0"/>
          <w:numId w:val="2"/>
        </w:numPr>
        <w:spacing w:after="80" w:line="280"/>
      </w:pPr>
      <w:r>
        <w:rPr>
          <w:rFonts w:ascii="Calibri" w:cs="Calibri" w:eastAsia="Calibri" w:hAnsi="Calibri"/>
          <w:sz w:val="22"/>
          <w:szCs w:val="22"/>
        </w:rPr>
        <w:t xml:space="preserve">Issues requiring physical access to the User's device;</w:t>
      </w:r>
    </w:p>
    <w:p>
      <w:pPr>
        <w:pStyle w:val="ListParagraph"/>
        <w:numPr>
          <w:ilvl w:val="0"/>
          <w:numId w:val="2"/>
        </w:numPr>
        <w:spacing w:after="80" w:line="280"/>
      </w:pPr>
      <w:r>
        <w:rPr>
          <w:rFonts w:ascii="Calibri" w:cs="Calibri" w:eastAsia="Calibri" w:hAnsi="Calibri"/>
          <w:sz w:val="22"/>
          <w:szCs w:val="22"/>
        </w:rPr>
        <w:t xml:space="preserve">Theoretical issues without practical impact;</w:t>
      </w:r>
    </w:p>
    <w:p>
      <w:pPr>
        <w:pStyle w:val="ListParagraph"/>
        <w:numPr>
          <w:ilvl w:val="0"/>
          <w:numId w:val="2"/>
        </w:numPr>
        <w:spacing w:after="80" w:line="280"/>
      </w:pPr>
      <w:r>
        <w:rPr>
          <w:rFonts w:ascii="Calibri" w:cs="Calibri" w:eastAsia="Calibri" w:hAnsi="Calibri"/>
          <w:sz w:val="22"/>
          <w:szCs w:val="22"/>
        </w:rPr>
        <w:t xml:space="preserve">Spam, phishing, or social-engineering of third parties.</w:t>
      </w:r>
    </w:p>
    <w:p>
      <w:pPr>
        <w:pStyle w:val="Heading2"/>
        <w:spacing w:after="120" w:before="240" w:line="300"/>
      </w:pPr>
      <w:r>
        <w:rPr>
          <w:rFonts w:ascii="Calibri" w:cs="Calibri" w:eastAsia="Calibri" w:hAnsi="Calibri"/>
          <w:b/>
          <w:bCs/>
          <w:color w:val="2E5496"/>
          <w:sz w:val="26"/>
          <w:szCs w:val="26"/>
        </w:rPr>
        <w:t xml:space="preserve">D. Special Categories</w:t>
      </w:r>
    </w:p>
    <w:p>
      <w:pPr>
        <w:spacing w:after="120" w:line="300"/>
      </w:pPr>
      <w:r>
        <w:rPr>
          <w:rFonts w:ascii="Calibri" w:cs="Calibri" w:eastAsia="Calibri" w:hAnsi="Calibri"/>
          <w:sz w:val="22"/>
          <w:szCs w:val="22"/>
        </w:rPr>
        <w:t xml:space="preserve">Where a Vulnerability affects User Personal Data, payment systems, or the integrity of Authorised Payment Partner integrations, the Platform treats the report as priority and informs (and may be obliged to inform) CERT-In, the Data Protection Board of India, and the relevant payment partner.</w:t>
      </w:r>
    </w:p>
    <w:p>
      <w:pPr>
        <w:pStyle w:val="Heading1"/>
        <w:spacing w:after="180" w:before="360" w:line="300"/>
      </w:pPr>
      <w:r>
        <w:rPr>
          <w:rFonts w:ascii="Calibri" w:cs="Calibri" w:eastAsia="Calibri" w:hAnsi="Calibri"/>
          <w:b/>
          <w:bCs/>
          <w:color w:val="1F3864"/>
          <w:sz w:val="30"/>
          <w:szCs w:val="30"/>
        </w:rPr>
        <w:t xml:space="preserve">5. How to Report a Vulnerability</w:t>
      </w:r>
    </w:p>
    <w:p>
      <w:pPr>
        <w:pStyle w:val="Heading2"/>
        <w:spacing w:after="120" w:before="240" w:line="300"/>
      </w:pPr>
      <w:r>
        <w:rPr>
          <w:rFonts w:ascii="Calibri" w:cs="Calibri" w:eastAsia="Calibri" w:hAnsi="Calibri"/>
          <w:b/>
          <w:bCs/>
          <w:color w:val="2E5496"/>
          <w:sz w:val="26"/>
          <w:szCs w:val="26"/>
        </w:rPr>
        <w:t xml:space="preserve">A. Report Channel</w:t>
      </w:r>
    </w:p>
    <w:p>
      <w:pPr>
        <w:spacing w:after="120" w:line="300"/>
      </w:pPr>
      <w:r>
        <w:rPr>
          <w:rFonts w:ascii="Calibri" w:cs="Calibri" w:eastAsia="Calibri" w:hAnsi="Calibri"/>
          <w:sz w:val="22"/>
          <w:szCs w:val="22"/>
        </w:rPr>
        <w:t xml:space="preserve">Vulnerability reports should be sent to </w:t>
      </w:r>
      <w:r>
        <w:rPr>
          <w:rFonts w:ascii="Calibri" w:cs="Calibri" w:eastAsia="Calibri" w:hAnsi="Calibri"/>
          <w:b/>
          <w:bCs/>
          <w:sz w:val="22"/>
          <w:szCs w:val="22"/>
        </w:rPr>
        <w:t xml:space="preserve">security@riseupcreators.com</w:t>
      </w:r>
      <w:r>
        <w:rPr>
          <w:rFonts w:ascii="Calibri" w:cs="Calibri" w:eastAsia="Calibri" w:hAnsi="Calibri"/>
          <w:sz w:val="22"/>
          <w:szCs w:val="22"/>
        </w:rPr>
        <w:t xml:space="preserve">, optionally encrypted using the Platform's published PGP key at www.riseupcreators.com/.well-known/security.txt. A </w:t>
      </w:r>
      <w:r>
        <w:rPr>
          <w:rFonts w:ascii="Calibri" w:cs="Calibri" w:eastAsia="Calibri" w:hAnsi="Calibri"/>
          <w:i/>
          <w:iCs/>
          <w:sz w:val="22"/>
          <w:szCs w:val="22"/>
        </w:rPr>
        <w:t xml:space="preserve">security.txt</w:t>
      </w:r>
      <w:r>
        <w:rPr>
          <w:rFonts w:ascii="Calibri" w:cs="Calibri" w:eastAsia="Calibri" w:hAnsi="Calibri"/>
          <w:sz w:val="22"/>
          <w:szCs w:val="22"/>
        </w:rPr>
        <w:t xml:space="preserve"> file (RFC 9116) is maintained at that path with the current contact, language, encryption key, and acknowledgements URL.</w:t>
      </w:r>
    </w:p>
    <w:p>
      <w:pPr>
        <w:pStyle w:val="Heading2"/>
        <w:spacing w:after="120" w:before="240" w:line="300"/>
      </w:pPr>
      <w:r>
        <w:rPr>
          <w:rFonts w:ascii="Calibri" w:cs="Calibri" w:eastAsia="Calibri" w:hAnsi="Calibri"/>
          <w:b/>
          <w:bCs/>
          <w:color w:val="2E5496"/>
          <w:sz w:val="26"/>
          <w:szCs w:val="26"/>
        </w:rPr>
        <w:t xml:space="preserve">B. Recommended Content</w:t>
      </w:r>
    </w:p>
    <w:p>
      <w:pPr>
        <w:spacing w:after="120" w:line="300"/>
      </w:pPr>
      <w:r>
        <w:rPr>
          <w:rFonts w:ascii="Calibri" w:cs="Calibri" w:eastAsia="Calibri" w:hAnsi="Calibri"/>
          <w:sz w:val="22"/>
          <w:szCs w:val="22"/>
        </w:rPr>
        <w:t xml:space="preserve">To enable rapid triage, Researchers are asked (but not required) to include:</w:t>
      </w:r>
    </w:p>
    <w:p>
      <w:pPr>
        <w:pStyle w:val="ListParagraph"/>
        <w:numPr>
          <w:ilvl w:val="0"/>
          <w:numId w:val="2"/>
        </w:numPr>
        <w:spacing w:after="80" w:line="280"/>
      </w:pPr>
      <w:r>
        <w:rPr>
          <w:rFonts w:ascii="Calibri" w:cs="Calibri" w:eastAsia="Calibri" w:hAnsi="Calibri"/>
          <w:sz w:val="22"/>
          <w:szCs w:val="22"/>
        </w:rPr>
        <w:t xml:space="preserve">The affected URL, endpoint, or component;</w:t>
      </w:r>
    </w:p>
    <w:p>
      <w:pPr>
        <w:pStyle w:val="ListParagraph"/>
        <w:numPr>
          <w:ilvl w:val="0"/>
          <w:numId w:val="2"/>
        </w:numPr>
        <w:spacing w:after="80" w:line="280"/>
      </w:pPr>
      <w:r>
        <w:rPr>
          <w:rFonts w:ascii="Calibri" w:cs="Calibri" w:eastAsia="Calibri" w:hAnsi="Calibri"/>
          <w:sz w:val="22"/>
          <w:szCs w:val="22"/>
        </w:rPr>
        <w:t xml:space="preserve">A clear description of the Vulnerability;</w:t>
      </w:r>
    </w:p>
    <w:p>
      <w:pPr>
        <w:pStyle w:val="ListParagraph"/>
        <w:numPr>
          <w:ilvl w:val="0"/>
          <w:numId w:val="2"/>
        </w:numPr>
        <w:spacing w:after="80" w:line="280"/>
      </w:pPr>
      <w:r>
        <w:rPr>
          <w:rFonts w:ascii="Calibri" w:cs="Calibri" w:eastAsia="Calibri" w:hAnsi="Calibri"/>
          <w:sz w:val="22"/>
          <w:szCs w:val="22"/>
        </w:rPr>
        <w:t xml:space="preserve">Steps to reproduce, including request/response samples or proof-of-concept;</w:t>
      </w:r>
    </w:p>
    <w:p>
      <w:pPr>
        <w:pStyle w:val="ListParagraph"/>
        <w:numPr>
          <w:ilvl w:val="0"/>
          <w:numId w:val="2"/>
        </w:numPr>
        <w:spacing w:after="80" w:line="280"/>
      </w:pPr>
      <w:r>
        <w:rPr>
          <w:rFonts w:ascii="Calibri" w:cs="Calibri" w:eastAsia="Calibri" w:hAnsi="Calibri"/>
          <w:sz w:val="22"/>
          <w:szCs w:val="22"/>
        </w:rPr>
        <w:t xml:space="preserve">The potential security impact;</w:t>
      </w:r>
    </w:p>
    <w:p>
      <w:pPr>
        <w:pStyle w:val="ListParagraph"/>
        <w:numPr>
          <w:ilvl w:val="0"/>
          <w:numId w:val="2"/>
        </w:numPr>
        <w:spacing w:after="80" w:line="280"/>
      </w:pPr>
      <w:r>
        <w:rPr>
          <w:rFonts w:ascii="Calibri" w:cs="Calibri" w:eastAsia="Calibri" w:hAnsi="Calibri"/>
          <w:sz w:val="22"/>
          <w:szCs w:val="22"/>
        </w:rPr>
        <w:t xml:space="preserve">The environment tested (browser, OS, version);</w:t>
      </w:r>
    </w:p>
    <w:p>
      <w:pPr>
        <w:pStyle w:val="ListParagraph"/>
        <w:numPr>
          <w:ilvl w:val="0"/>
          <w:numId w:val="2"/>
        </w:numPr>
        <w:spacing w:after="80" w:line="280"/>
      </w:pPr>
      <w:r>
        <w:rPr>
          <w:rFonts w:ascii="Calibri" w:cs="Calibri" w:eastAsia="Calibri" w:hAnsi="Calibri"/>
          <w:sz w:val="22"/>
          <w:szCs w:val="22"/>
        </w:rPr>
        <w:t xml:space="preserve">Whether the Researcher is willing to be credited and under what name.</w:t>
      </w:r>
    </w:p>
    <w:p>
      <w:pPr>
        <w:pStyle w:val="Heading2"/>
        <w:spacing w:after="120" w:before="240" w:line="300"/>
      </w:pPr>
      <w:r>
        <w:rPr>
          <w:rFonts w:ascii="Calibri" w:cs="Calibri" w:eastAsia="Calibri" w:hAnsi="Calibri"/>
          <w:b/>
          <w:bCs/>
          <w:color w:val="2E5496"/>
          <w:sz w:val="26"/>
          <w:szCs w:val="26"/>
        </w:rPr>
        <w:t xml:space="preserve">C. Acknowledgement and Triage SLAs</w:t>
      </w:r>
    </w:p>
    <w:p>
      <w:pPr>
        <w:pStyle w:val="ListParagraph"/>
        <w:numPr>
          <w:ilvl w:val="0"/>
          <w:numId w:val="2"/>
        </w:numPr>
        <w:spacing w:after="80" w:line="280"/>
      </w:pPr>
      <w:r>
        <w:rPr>
          <w:rFonts w:ascii="Calibri" w:cs="Calibri" w:eastAsia="Calibri" w:hAnsi="Calibri"/>
          <w:b/>
          <w:bCs/>
          <w:sz w:val="22"/>
          <w:szCs w:val="22"/>
        </w:rPr>
        <w:t xml:space="preserve">Initial acknowledgement:</w:t>
      </w:r>
      <w:r>
        <w:rPr>
          <w:rFonts w:ascii="Calibri" w:cs="Calibri" w:eastAsia="Calibri" w:hAnsi="Calibri"/>
          <w:sz w:val="22"/>
          <w:szCs w:val="22"/>
        </w:rPr>
        <w:t xml:space="preserve"> within seventy-two (72) hours of receipt;</w:t>
      </w:r>
    </w:p>
    <w:p>
      <w:pPr>
        <w:pStyle w:val="ListParagraph"/>
        <w:numPr>
          <w:ilvl w:val="0"/>
          <w:numId w:val="2"/>
        </w:numPr>
        <w:spacing w:after="80" w:line="280"/>
      </w:pPr>
      <w:r>
        <w:rPr>
          <w:rFonts w:ascii="Calibri" w:cs="Calibri" w:eastAsia="Calibri" w:hAnsi="Calibri"/>
          <w:b/>
          <w:bCs/>
          <w:sz w:val="22"/>
          <w:szCs w:val="22"/>
        </w:rPr>
        <w:t xml:space="preserve">Triage and severity assignment:</w:t>
      </w:r>
      <w:r>
        <w:rPr>
          <w:rFonts w:ascii="Calibri" w:cs="Calibri" w:eastAsia="Calibri" w:hAnsi="Calibri"/>
          <w:sz w:val="22"/>
          <w:szCs w:val="22"/>
        </w:rPr>
        <w:t xml:space="preserve"> within seven (7) business days for typical reports;</w:t>
      </w:r>
    </w:p>
    <w:p>
      <w:pPr>
        <w:pStyle w:val="ListParagraph"/>
        <w:numPr>
          <w:ilvl w:val="0"/>
          <w:numId w:val="2"/>
        </w:numPr>
        <w:spacing w:after="80" w:line="280"/>
      </w:pPr>
      <w:r>
        <w:rPr>
          <w:rFonts w:ascii="Calibri" w:cs="Calibri" w:eastAsia="Calibri" w:hAnsi="Calibri"/>
          <w:b/>
          <w:bCs/>
          <w:sz w:val="22"/>
          <w:szCs w:val="22"/>
        </w:rPr>
        <w:t xml:space="preserve">Status update cadence:</w:t>
      </w:r>
      <w:r>
        <w:rPr>
          <w:rFonts w:ascii="Calibri" w:cs="Calibri" w:eastAsia="Calibri" w:hAnsi="Calibri"/>
          <w:sz w:val="22"/>
          <w:szCs w:val="22"/>
        </w:rPr>
        <w:t xml:space="preserve"> every fourteen (14) days during active remediation;</w:t>
      </w:r>
    </w:p>
    <w:p>
      <w:pPr>
        <w:pStyle w:val="ListParagraph"/>
        <w:numPr>
          <w:ilvl w:val="0"/>
          <w:numId w:val="2"/>
        </w:numPr>
        <w:spacing w:after="80" w:line="280"/>
      </w:pPr>
      <w:r>
        <w:rPr>
          <w:rFonts w:ascii="Calibri" w:cs="Calibri" w:eastAsia="Calibri" w:hAnsi="Calibri"/>
          <w:b/>
          <w:bCs/>
          <w:sz w:val="22"/>
          <w:szCs w:val="22"/>
        </w:rPr>
        <w:t xml:space="preserve">Resolution:</w:t>
      </w:r>
      <w:r>
        <w:rPr>
          <w:rFonts w:ascii="Calibri" w:cs="Calibri" w:eastAsia="Calibri" w:hAnsi="Calibri"/>
          <w:sz w:val="22"/>
          <w:szCs w:val="22"/>
        </w:rPr>
        <w:t xml:space="preserve"> time-to-fix depends on severity (Critical / High / Medium / Low) and complexity; the Platform will keep the Researcher informed.</w:t>
      </w:r>
    </w:p>
    <w:p>
      <w:pPr>
        <w:pStyle w:val="Heading2"/>
        <w:spacing w:after="120" w:before="240" w:line="300"/>
      </w:pPr>
      <w:r>
        <w:rPr>
          <w:rFonts w:ascii="Calibri" w:cs="Calibri" w:eastAsia="Calibri" w:hAnsi="Calibri"/>
          <w:b/>
          <w:bCs/>
          <w:color w:val="2E5496"/>
          <w:sz w:val="26"/>
          <w:szCs w:val="26"/>
        </w:rPr>
        <w:t xml:space="preserve">D. Confidentiality and Coordinated Disclosure</w:t>
      </w:r>
    </w:p>
    <w:p>
      <w:pPr>
        <w:pStyle w:val="ListParagraph"/>
        <w:numPr>
          <w:ilvl w:val="0"/>
          <w:numId w:val="2"/>
        </w:numPr>
        <w:spacing w:after="80" w:line="280"/>
      </w:pPr>
      <w:r>
        <w:rPr>
          <w:rFonts w:ascii="Calibri" w:cs="Calibri" w:eastAsia="Calibri" w:hAnsi="Calibri"/>
          <w:sz w:val="22"/>
          <w:szCs w:val="22"/>
        </w:rPr>
        <w:t xml:space="preserve">The Researcher agrees to keep the Vulnerability confidential while the Platform remediates;</w:t>
      </w:r>
    </w:p>
    <w:p>
      <w:pPr>
        <w:pStyle w:val="ListParagraph"/>
        <w:numPr>
          <w:ilvl w:val="0"/>
          <w:numId w:val="2"/>
        </w:numPr>
        <w:spacing w:after="80" w:line="280"/>
      </w:pPr>
      <w:r>
        <w:rPr>
          <w:rFonts w:ascii="Calibri" w:cs="Calibri" w:eastAsia="Calibri" w:hAnsi="Calibri"/>
          <w:sz w:val="22"/>
          <w:szCs w:val="22"/>
        </w:rPr>
        <w:t xml:space="preserve">Default coordinated-disclosure window: ninety (90) days from initial acknowledgement, extendable by mutual agreement for complex issues;</w:t>
      </w:r>
    </w:p>
    <w:p>
      <w:pPr>
        <w:pStyle w:val="ListParagraph"/>
        <w:numPr>
          <w:ilvl w:val="0"/>
          <w:numId w:val="2"/>
        </w:numPr>
        <w:spacing w:after="80" w:line="280"/>
      </w:pPr>
      <w:r>
        <w:rPr>
          <w:rFonts w:ascii="Calibri" w:cs="Calibri" w:eastAsia="Calibri" w:hAnsi="Calibri"/>
          <w:sz w:val="22"/>
          <w:szCs w:val="22"/>
        </w:rPr>
        <w:t xml:space="preserve">Public disclosure before resolution is discouraged; if exigent circumstances require it (e.g., active exploitation), the Researcher should contact the Platform first;</w:t>
      </w:r>
    </w:p>
    <w:p>
      <w:pPr>
        <w:pStyle w:val="ListParagraph"/>
        <w:numPr>
          <w:ilvl w:val="0"/>
          <w:numId w:val="2"/>
        </w:numPr>
        <w:spacing w:after="80" w:line="280"/>
      </w:pPr>
      <w:r>
        <w:rPr>
          <w:rFonts w:ascii="Calibri" w:cs="Calibri" w:eastAsia="Calibri" w:hAnsi="Calibri"/>
          <w:sz w:val="22"/>
          <w:szCs w:val="22"/>
        </w:rPr>
        <w:t xml:space="preserve">The Platform will acknowledge the Researcher in a public credits / Hall of Fame at www.riseupcreators.com/security/credits, with consent.</w:t>
      </w:r>
    </w:p>
    <w:p>
      <w:pPr>
        <w:pStyle w:val="Heading1"/>
        <w:spacing w:after="180" w:before="360" w:line="300"/>
      </w:pPr>
      <w:r>
        <w:rPr>
          <w:rFonts w:ascii="Calibri" w:cs="Calibri" w:eastAsia="Calibri" w:hAnsi="Calibri"/>
          <w:b/>
          <w:bCs/>
          <w:color w:val="1F3864"/>
          <w:sz w:val="30"/>
          <w:szCs w:val="30"/>
        </w:rPr>
        <w:t xml:space="preserve">6. Rules of Engagement (Conditions for Safe Harbour)</w:t>
      </w:r>
    </w:p>
    <w:p>
      <w:pPr>
        <w:spacing w:after="120" w:line="300"/>
      </w:pPr>
      <w:r>
        <w:rPr>
          <w:rFonts w:ascii="Calibri" w:cs="Calibri" w:eastAsia="Calibri" w:hAnsi="Calibri"/>
          <w:sz w:val="22"/>
          <w:szCs w:val="22"/>
        </w:rPr>
        <w:t xml:space="preserve">A Researcher receives the Safe Harbour in Section 7 if, and only if, they:</w:t>
      </w:r>
    </w:p>
    <w:p>
      <w:pPr>
        <w:pStyle w:val="ListParagraph"/>
        <w:numPr>
          <w:ilvl w:val="0"/>
          <w:numId w:val="2"/>
        </w:numPr>
        <w:spacing w:after="80" w:line="280"/>
      </w:pPr>
      <w:r>
        <w:rPr>
          <w:rFonts w:ascii="Calibri" w:cs="Calibri" w:eastAsia="Calibri" w:hAnsi="Calibri"/>
          <w:sz w:val="22"/>
          <w:szCs w:val="22"/>
        </w:rPr>
        <w:t xml:space="preserve">Act in good faith to identify and report a Vulnerability under this Policy;</w:t>
      </w:r>
    </w:p>
    <w:p>
      <w:pPr>
        <w:pStyle w:val="ListParagraph"/>
        <w:numPr>
          <w:ilvl w:val="0"/>
          <w:numId w:val="2"/>
        </w:numPr>
        <w:spacing w:after="80" w:line="280"/>
      </w:pPr>
      <w:r>
        <w:rPr>
          <w:rFonts w:ascii="Calibri" w:cs="Calibri" w:eastAsia="Calibri" w:hAnsi="Calibri"/>
          <w:sz w:val="22"/>
          <w:szCs w:val="22"/>
        </w:rPr>
        <w:t xml:space="preserve">Use only the Researcher's own test Accounts, or Accounts with the express consent of their owner, and not Accounts of unrelated Users;</w:t>
      </w:r>
    </w:p>
    <w:p>
      <w:pPr>
        <w:pStyle w:val="ListParagraph"/>
        <w:numPr>
          <w:ilvl w:val="0"/>
          <w:numId w:val="2"/>
        </w:numPr>
        <w:spacing w:after="80" w:line="280"/>
      </w:pPr>
      <w:r>
        <w:rPr>
          <w:rFonts w:ascii="Calibri" w:cs="Calibri" w:eastAsia="Calibri" w:hAnsi="Calibri"/>
          <w:sz w:val="22"/>
          <w:szCs w:val="22"/>
        </w:rPr>
        <w:t xml:space="preserve">Avoid access to, modification, deletion, or exfiltration of User data beyond the minimum strictly necessary to demonstrate the Vulnerability;</w:t>
      </w:r>
    </w:p>
    <w:p>
      <w:pPr>
        <w:pStyle w:val="ListParagraph"/>
        <w:numPr>
          <w:ilvl w:val="0"/>
          <w:numId w:val="2"/>
        </w:numPr>
        <w:spacing w:after="80" w:line="280"/>
      </w:pPr>
      <w:r>
        <w:rPr>
          <w:rFonts w:ascii="Calibri" w:cs="Calibri" w:eastAsia="Calibri" w:hAnsi="Calibri"/>
          <w:sz w:val="22"/>
          <w:szCs w:val="22"/>
        </w:rPr>
        <w:t xml:space="preserve">Stop testing immediately and notify the Platform on encountering any User data, and do not retain, share, or exploit such data;</w:t>
      </w:r>
    </w:p>
    <w:p>
      <w:pPr>
        <w:pStyle w:val="ListParagraph"/>
        <w:numPr>
          <w:ilvl w:val="0"/>
          <w:numId w:val="2"/>
        </w:numPr>
        <w:spacing w:after="80" w:line="280"/>
      </w:pPr>
      <w:r>
        <w:rPr>
          <w:rFonts w:ascii="Calibri" w:cs="Calibri" w:eastAsia="Calibri" w:hAnsi="Calibri"/>
          <w:sz w:val="22"/>
          <w:szCs w:val="22"/>
        </w:rPr>
        <w:t xml:space="preserve">Do not perform denial-of-service, volumetric, social-engineering, or physical attacks (except as expressly invited);</w:t>
      </w:r>
    </w:p>
    <w:p>
      <w:pPr>
        <w:pStyle w:val="ListParagraph"/>
        <w:numPr>
          <w:ilvl w:val="0"/>
          <w:numId w:val="2"/>
        </w:numPr>
        <w:spacing w:after="80" w:line="280"/>
      </w:pPr>
      <w:r>
        <w:rPr>
          <w:rFonts w:ascii="Calibri" w:cs="Calibri" w:eastAsia="Calibri" w:hAnsi="Calibri"/>
          <w:sz w:val="22"/>
          <w:szCs w:val="22"/>
        </w:rPr>
        <w:t xml:space="preserve">Do not engage in extortion, threats, or solicitation of payment in exchange for silence;</w:t>
      </w:r>
    </w:p>
    <w:p>
      <w:pPr>
        <w:pStyle w:val="ListParagraph"/>
        <w:numPr>
          <w:ilvl w:val="0"/>
          <w:numId w:val="2"/>
        </w:numPr>
        <w:spacing w:after="80" w:line="280"/>
      </w:pPr>
      <w:r>
        <w:rPr>
          <w:rFonts w:ascii="Calibri" w:cs="Calibri" w:eastAsia="Calibri" w:hAnsi="Calibri"/>
          <w:sz w:val="22"/>
          <w:szCs w:val="22"/>
        </w:rPr>
        <w:t xml:space="preserve">Comply with Applicable Law (subject to the Safe Harbour in Section 7);</w:t>
      </w:r>
    </w:p>
    <w:p>
      <w:pPr>
        <w:pStyle w:val="ListParagraph"/>
        <w:numPr>
          <w:ilvl w:val="0"/>
          <w:numId w:val="2"/>
        </w:numPr>
        <w:spacing w:after="80" w:line="280"/>
      </w:pPr>
      <w:r>
        <w:rPr>
          <w:rFonts w:ascii="Calibri" w:cs="Calibri" w:eastAsia="Calibri" w:hAnsi="Calibri"/>
          <w:sz w:val="22"/>
          <w:szCs w:val="22"/>
        </w:rPr>
        <w:t xml:space="preserve">Report the Vulnerability privately through the channel in Section 5 before public disclosure;</w:t>
      </w:r>
    </w:p>
    <w:p>
      <w:pPr>
        <w:pStyle w:val="ListParagraph"/>
        <w:numPr>
          <w:ilvl w:val="0"/>
          <w:numId w:val="2"/>
        </w:numPr>
        <w:spacing w:after="80" w:line="280"/>
      </w:pPr>
      <w:r>
        <w:rPr>
          <w:rFonts w:ascii="Calibri" w:cs="Calibri" w:eastAsia="Calibri" w:hAnsi="Calibri"/>
          <w:sz w:val="22"/>
          <w:szCs w:val="22"/>
        </w:rPr>
        <w:t xml:space="preserve">Respect the coordinated-disclosure window in Section 5(D);</w:t>
      </w:r>
    </w:p>
    <w:p>
      <w:pPr>
        <w:pStyle w:val="ListParagraph"/>
        <w:numPr>
          <w:ilvl w:val="0"/>
          <w:numId w:val="2"/>
        </w:numPr>
        <w:spacing w:after="80" w:line="280"/>
      </w:pPr>
      <w:r>
        <w:rPr>
          <w:rFonts w:ascii="Calibri" w:cs="Calibri" w:eastAsia="Calibri" w:hAnsi="Calibri"/>
          <w:sz w:val="22"/>
          <w:szCs w:val="22"/>
        </w:rPr>
        <w:t xml:space="preserve">Do not use the Vulnerability to harm Users, the Platform, or third parties.</w:t>
      </w:r>
    </w:p>
    <w:p>
      <w:pPr>
        <w:pStyle w:val="Heading1"/>
        <w:spacing w:after="180" w:before="360" w:line="300"/>
      </w:pPr>
      <w:r>
        <w:rPr>
          <w:rFonts w:ascii="Calibri" w:cs="Calibri" w:eastAsia="Calibri" w:hAnsi="Calibri"/>
          <w:b/>
          <w:bCs/>
          <w:color w:val="1F3864"/>
          <w:sz w:val="30"/>
          <w:szCs w:val="30"/>
        </w:rPr>
        <w:t xml:space="preserve">7. Safe Harbour for Good-Faith Research</w:t>
      </w:r>
    </w:p>
    <w:p>
      <w:pPr>
        <w:pStyle w:val="Heading2"/>
        <w:spacing w:after="120" w:before="240" w:line="300"/>
      </w:pPr>
      <w:r>
        <w:rPr>
          <w:rFonts w:ascii="Calibri" w:cs="Calibri" w:eastAsia="Calibri" w:hAnsi="Calibri"/>
          <w:b/>
          <w:bCs/>
          <w:color w:val="2E5496"/>
          <w:sz w:val="26"/>
          <w:szCs w:val="26"/>
        </w:rPr>
        <w:t xml:space="preserve">A. Platform Commitment</w:t>
      </w:r>
    </w:p>
    <w:p>
      <w:pPr>
        <w:spacing w:after="120" w:line="300"/>
      </w:pPr>
      <w:r>
        <w:rPr>
          <w:rFonts w:ascii="Calibri" w:cs="Calibri" w:eastAsia="Calibri" w:hAnsi="Calibri"/>
          <w:sz w:val="22"/>
          <w:szCs w:val="22"/>
        </w:rPr>
        <w:t xml:space="preserve">For Researchers who comply with the Rules of Engagement in Section 6, the Platform commits that it will:</w:t>
      </w:r>
    </w:p>
    <w:p>
      <w:pPr>
        <w:pStyle w:val="ListParagraph"/>
        <w:numPr>
          <w:ilvl w:val="0"/>
          <w:numId w:val="2"/>
        </w:numPr>
        <w:spacing w:after="80" w:line="280"/>
      </w:pPr>
      <w:r>
        <w:rPr>
          <w:rFonts w:ascii="Calibri" w:cs="Calibri" w:eastAsia="Calibri" w:hAnsi="Calibri"/>
          <w:b/>
          <w:bCs/>
          <w:sz w:val="22"/>
          <w:szCs w:val="22"/>
        </w:rPr>
        <w:t xml:space="preserve">Not initiate or support civil or criminal action</w:t>
      </w:r>
      <w:r>
        <w:rPr>
          <w:rFonts w:ascii="Calibri" w:cs="Calibri" w:eastAsia="Calibri" w:hAnsi="Calibri"/>
          <w:sz w:val="22"/>
          <w:szCs w:val="22"/>
        </w:rPr>
        <w:t xml:space="preserve"> against the Researcher for activity conducted under this Policy and in compliance with Section 6, including activity that may otherwise have been alleged to violate:</w:t>
      </w:r>
    </w:p>
    <w:p>
      <w:pPr>
        <w:pStyle w:val="ListParagraph"/>
        <w:numPr>
          <w:ilvl w:val="0"/>
          <w:numId w:val="2"/>
        </w:numPr>
        <w:spacing w:after="80" w:line="280"/>
      </w:pPr>
      <w:r>
        <w:rPr>
          <w:rFonts w:ascii="Calibri" w:cs="Calibri" w:eastAsia="Calibri" w:hAnsi="Calibri"/>
          <w:sz w:val="22"/>
          <w:szCs w:val="22"/>
        </w:rPr>
        <w:t xml:space="preserve">The Information Technology Act, 2000, including Sections 43 (penalty for damage to computer/computer system), 65 (tampering with source code), 66 (computer-related offences), and 66B/66C/66D (where applicable);</w:t>
      </w:r>
    </w:p>
    <w:p>
      <w:pPr>
        <w:pStyle w:val="ListParagraph"/>
        <w:numPr>
          <w:ilvl w:val="0"/>
          <w:numId w:val="2"/>
        </w:numPr>
        <w:spacing w:after="80" w:line="280"/>
      </w:pPr>
      <w:r>
        <w:rPr>
          <w:rFonts w:ascii="Calibri" w:cs="Calibri" w:eastAsia="Calibri" w:hAnsi="Calibri"/>
          <w:sz w:val="22"/>
          <w:szCs w:val="22"/>
        </w:rPr>
        <w:t xml:space="preserve">The Bharatiya Nyaya Sanhita, 2023, where the conduct would otherwise have constituted an offence relating to property or computer resources of the Platform;</w:t>
      </w:r>
    </w:p>
    <w:p>
      <w:pPr>
        <w:pStyle w:val="ListParagraph"/>
        <w:numPr>
          <w:ilvl w:val="0"/>
          <w:numId w:val="2"/>
        </w:numPr>
        <w:spacing w:after="80" w:line="280"/>
      </w:pPr>
      <w:r>
        <w:rPr>
          <w:rFonts w:ascii="Calibri" w:cs="Calibri" w:eastAsia="Calibri" w:hAnsi="Calibri"/>
          <w:sz w:val="22"/>
          <w:szCs w:val="22"/>
        </w:rPr>
        <w:t xml:space="preserve">The Terms of Service, Acceptable Use Policy, or any Role Agreement, to the extent the conduct falls within Section 6;</w:t>
      </w:r>
    </w:p>
    <w:p>
      <w:pPr>
        <w:pStyle w:val="ListParagraph"/>
        <w:numPr>
          <w:ilvl w:val="0"/>
          <w:numId w:val="2"/>
        </w:numPr>
        <w:spacing w:after="80" w:line="280"/>
      </w:pPr>
      <w:r>
        <w:rPr>
          <w:rFonts w:ascii="Calibri" w:cs="Calibri" w:eastAsia="Calibri" w:hAnsi="Calibri"/>
          <w:b/>
          <w:bCs/>
          <w:sz w:val="22"/>
          <w:szCs w:val="22"/>
        </w:rPr>
        <w:t xml:space="preserve">Consider the activity authorised</w:t>
      </w:r>
      <w:r>
        <w:rPr>
          <w:rFonts w:ascii="Calibri" w:cs="Calibri" w:eastAsia="Calibri" w:hAnsi="Calibri"/>
          <w:sz w:val="22"/>
          <w:szCs w:val="22"/>
        </w:rPr>
        <w:t xml:space="preserve"> for the purposes of the IT Act, 2000 and the Computer Fraud and Abuse Act (CFAA) where U.S. nexus exists, to the maximum extent the Platform can grant such authorisation;</w:t>
      </w:r>
    </w:p>
    <w:p>
      <w:pPr>
        <w:pStyle w:val="ListParagraph"/>
        <w:numPr>
          <w:ilvl w:val="0"/>
          <w:numId w:val="2"/>
        </w:numPr>
        <w:spacing w:after="80" w:line="280"/>
      </w:pPr>
      <w:r>
        <w:rPr>
          <w:rFonts w:ascii="Calibri" w:cs="Calibri" w:eastAsia="Calibri" w:hAnsi="Calibri"/>
          <w:b/>
          <w:bCs/>
          <w:sz w:val="22"/>
          <w:szCs w:val="22"/>
        </w:rPr>
        <w:t xml:space="preserve">Treat the Researcher's identity confidentially</w:t>
      </w:r>
      <w:r>
        <w:rPr>
          <w:rFonts w:ascii="Calibri" w:cs="Calibri" w:eastAsia="Calibri" w:hAnsi="Calibri"/>
          <w:sz w:val="22"/>
          <w:szCs w:val="22"/>
        </w:rPr>
        <w:t xml:space="preserve"> and not disclose it to third parties without the Researcher's consent, save as required by law;</w:t>
      </w:r>
    </w:p>
    <w:p>
      <w:pPr>
        <w:pStyle w:val="ListParagraph"/>
        <w:numPr>
          <w:ilvl w:val="0"/>
          <w:numId w:val="2"/>
        </w:numPr>
        <w:spacing w:after="80" w:line="280"/>
      </w:pPr>
      <w:r>
        <w:rPr>
          <w:rFonts w:ascii="Calibri" w:cs="Calibri" w:eastAsia="Calibri" w:hAnsi="Calibri"/>
          <w:b/>
          <w:bCs/>
          <w:sz w:val="22"/>
          <w:szCs w:val="22"/>
        </w:rPr>
        <w:t xml:space="preserve">Liaise with law enforcement on the Researcher's behalf</w:t>
      </w:r>
      <w:r>
        <w:rPr>
          <w:rFonts w:ascii="Calibri" w:cs="Calibri" w:eastAsia="Calibri" w:hAnsi="Calibri"/>
          <w:sz w:val="22"/>
          <w:szCs w:val="22"/>
        </w:rPr>
        <w:t xml:space="preserve">, where reasonably necessary, to clarify the good-faith nature of the research;</w:t>
      </w:r>
    </w:p>
    <w:p>
      <w:pPr>
        <w:pStyle w:val="ListParagraph"/>
        <w:numPr>
          <w:ilvl w:val="0"/>
          <w:numId w:val="2"/>
        </w:numPr>
        <w:spacing w:after="80" w:line="280"/>
      </w:pPr>
      <w:r>
        <w:rPr>
          <w:rFonts w:ascii="Calibri" w:cs="Calibri" w:eastAsia="Calibri" w:hAnsi="Calibri"/>
          <w:b/>
          <w:bCs/>
          <w:sz w:val="22"/>
          <w:szCs w:val="22"/>
        </w:rPr>
        <w:t xml:space="preserve">Not retaliate</w:t>
      </w:r>
      <w:r>
        <w:rPr>
          <w:rFonts w:ascii="Calibri" w:cs="Calibri" w:eastAsia="Calibri" w:hAnsi="Calibri"/>
          <w:sz w:val="22"/>
          <w:szCs w:val="22"/>
        </w:rPr>
        <w:t xml:space="preserve"> through Account action, IP blocking, or other measures, save as needed to contain an active incident.</w:t>
      </w:r>
    </w:p>
    <w:p>
      <w:pPr>
        <w:pStyle w:val="Heading2"/>
        <w:spacing w:after="120" w:before="240" w:line="300"/>
      </w:pPr>
      <w:r>
        <w:rPr>
          <w:rFonts w:ascii="Calibri" w:cs="Calibri" w:eastAsia="Calibri" w:hAnsi="Calibri"/>
          <w:b/>
          <w:bCs/>
          <w:color w:val="2E5496"/>
          <w:sz w:val="26"/>
          <w:szCs w:val="26"/>
        </w:rPr>
        <w:t xml:space="preserve">B. Limits of Safe Harbour</w:t>
      </w:r>
    </w:p>
    <w:p>
      <w:pPr>
        <w:spacing w:after="120" w:line="300"/>
      </w:pPr>
      <w:r>
        <w:rPr>
          <w:rFonts w:ascii="Calibri" w:cs="Calibri" w:eastAsia="Calibri" w:hAnsi="Calibri"/>
          <w:sz w:val="22"/>
          <w:szCs w:val="22"/>
        </w:rPr>
        <w:t xml:space="preserve">Safe Harbour does not extend to:</w:t>
      </w:r>
    </w:p>
    <w:p>
      <w:pPr>
        <w:pStyle w:val="ListParagraph"/>
        <w:numPr>
          <w:ilvl w:val="0"/>
          <w:numId w:val="2"/>
        </w:numPr>
        <w:spacing w:after="80" w:line="280"/>
      </w:pPr>
      <w:r>
        <w:rPr>
          <w:rFonts w:ascii="Calibri" w:cs="Calibri" w:eastAsia="Calibri" w:hAnsi="Calibri"/>
          <w:sz w:val="22"/>
          <w:szCs w:val="22"/>
        </w:rPr>
        <w:t xml:space="preserve">Activity that exceeds the Rules of Engagement in Section 6;</w:t>
      </w:r>
    </w:p>
    <w:p>
      <w:pPr>
        <w:pStyle w:val="ListParagraph"/>
        <w:numPr>
          <w:ilvl w:val="0"/>
          <w:numId w:val="2"/>
        </w:numPr>
        <w:spacing w:after="80" w:line="280"/>
      </w:pPr>
      <w:r>
        <w:rPr>
          <w:rFonts w:ascii="Calibri" w:cs="Calibri" w:eastAsia="Calibri" w:hAnsi="Calibri"/>
          <w:sz w:val="22"/>
          <w:szCs w:val="22"/>
        </w:rPr>
        <w:t xml:space="preserve">Activity that knowingly affects third parties whose systems are out of scope under Section 4(B);</w:t>
      </w:r>
    </w:p>
    <w:p>
      <w:pPr>
        <w:pStyle w:val="ListParagraph"/>
        <w:numPr>
          <w:ilvl w:val="0"/>
          <w:numId w:val="2"/>
        </w:numPr>
        <w:spacing w:after="80" w:line="280"/>
      </w:pPr>
      <w:r>
        <w:rPr>
          <w:rFonts w:ascii="Calibri" w:cs="Calibri" w:eastAsia="Calibri" w:hAnsi="Calibri"/>
          <w:sz w:val="22"/>
          <w:szCs w:val="22"/>
        </w:rPr>
        <w:t xml:space="preserve">Activity that constitutes an independent unlawful act unrelated to the Vulnerability (e.g., theft, fraud, extortion);</w:t>
      </w:r>
    </w:p>
    <w:p>
      <w:pPr>
        <w:pStyle w:val="ListParagraph"/>
        <w:numPr>
          <w:ilvl w:val="0"/>
          <w:numId w:val="2"/>
        </w:numPr>
        <w:spacing w:after="80" w:line="280"/>
      </w:pPr>
      <w:r>
        <w:rPr>
          <w:rFonts w:ascii="Calibri" w:cs="Calibri" w:eastAsia="Calibri" w:hAnsi="Calibri"/>
          <w:sz w:val="22"/>
          <w:szCs w:val="22"/>
        </w:rPr>
        <w:t xml:space="preserve">Activity directed against an Account or User without that Account-holder's consent;</w:t>
      </w:r>
    </w:p>
    <w:p>
      <w:pPr>
        <w:pStyle w:val="ListParagraph"/>
        <w:numPr>
          <w:ilvl w:val="0"/>
          <w:numId w:val="2"/>
        </w:numPr>
        <w:spacing w:after="80" w:line="280"/>
      </w:pPr>
      <w:r>
        <w:rPr>
          <w:rFonts w:ascii="Calibri" w:cs="Calibri" w:eastAsia="Calibri" w:hAnsi="Calibri"/>
          <w:sz w:val="22"/>
          <w:szCs w:val="22"/>
        </w:rPr>
        <w:t xml:space="preserve">Activity by a person otherwise barred (e.g., subject to a court order, sanctioned person).</w:t>
      </w:r>
    </w:p>
    <w:p>
      <w:pPr>
        <w:pStyle w:val="Heading2"/>
        <w:spacing w:after="120" w:before="240" w:line="300"/>
      </w:pPr>
      <w:r>
        <w:rPr>
          <w:rFonts w:ascii="Calibri" w:cs="Calibri" w:eastAsia="Calibri" w:hAnsi="Calibri"/>
          <w:b/>
          <w:bCs/>
          <w:color w:val="2E5496"/>
          <w:sz w:val="26"/>
          <w:szCs w:val="26"/>
        </w:rPr>
        <w:t xml:space="preserve">C. No Authority to Bind Third Parties</w:t>
      </w:r>
    </w:p>
    <w:p>
      <w:pPr>
        <w:spacing w:after="120" w:line="300"/>
      </w:pPr>
      <w:r>
        <w:rPr>
          <w:rFonts w:ascii="Calibri" w:cs="Calibri" w:eastAsia="Calibri" w:hAnsi="Calibri"/>
          <w:sz w:val="22"/>
          <w:szCs w:val="22"/>
        </w:rPr>
        <w:t xml:space="preserve">Safe Harbour binds the Platform only. The Platform cannot bind third parties (other Users, vendors, payment partners, law enforcement). Where research touches third-party systems, the Researcher remains responsible for obtaining any required authorisations from those parties.</w:t>
      </w:r>
    </w:p>
    <w:p>
      <w:pPr>
        <w:pStyle w:val="Heading1"/>
        <w:spacing w:after="180" w:before="360" w:line="300"/>
      </w:pPr>
      <w:r>
        <w:rPr>
          <w:rFonts w:ascii="Calibri" w:cs="Calibri" w:eastAsia="Calibri" w:hAnsi="Calibri"/>
          <w:b/>
          <w:bCs/>
          <w:color w:val="1F3864"/>
          <w:sz w:val="30"/>
          <w:szCs w:val="30"/>
        </w:rPr>
        <w:t xml:space="preserve">8. Bug Bounty (Optional Programme)</w:t>
      </w:r>
    </w:p>
    <w:p>
      <w:pPr>
        <w:spacing w:after="120" w:line="300"/>
      </w:pPr>
      <w:r>
        <w:rPr>
          <w:rFonts w:ascii="Calibri" w:cs="Calibri" w:eastAsia="Calibri" w:hAnsi="Calibri"/>
          <w:sz w:val="22"/>
          <w:szCs w:val="22"/>
        </w:rPr>
        <w:t xml:space="preserve">The Platform may, but is not obliged to, operate a paid Bug Bounty programme alongside the CVD programme. Where operated:</w:t>
      </w:r>
    </w:p>
    <w:p>
      <w:pPr>
        <w:pStyle w:val="ListParagraph"/>
        <w:numPr>
          <w:ilvl w:val="0"/>
          <w:numId w:val="2"/>
        </w:numPr>
        <w:spacing w:after="80" w:line="280"/>
      </w:pPr>
      <w:r>
        <w:rPr>
          <w:rFonts w:ascii="Calibri" w:cs="Calibri" w:eastAsia="Calibri" w:hAnsi="Calibri"/>
          <w:sz w:val="22"/>
          <w:szCs w:val="22"/>
        </w:rPr>
        <w:t xml:space="preserve">Bounty amounts are at the Platform's discretion based on severity, exploitability, and quality of the report;</w:t>
      </w:r>
    </w:p>
    <w:p>
      <w:pPr>
        <w:pStyle w:val="ListParagraph"/>
        <w:numPr>
          <w:ilvl w:val="0"/>
          <w:numId w:val="2"/>
        </w:numPr>
        <w:spacing w:after="80" w:line="280"/>
      </w:pPr>
      <w:r>
        <w:rPr>
          <w:rFonts w:ascii="Calibri" w:cs="Calibri" w:eastAsia="Calibri" w:hAnsi="Calibri"/>
          <w:sz w:val="22"/>
          <w:szCs w:val="22"/>
        </w:rPr>
        <w:t xml:space="preserve">Bounty payments are not a quid pro quo for silence and do not affect the Platform's statutory notification obligations under Sections 9–11;</w:t>
      </w:r>
    </w:p>
    <w:p>
      <w:pPr>
        <w:pStyle w:val="ListParagraph"/>
        <w:numPr>
          <w:ilvl w:val="0"/>
          <w:numId w:val="2"/>
        </w:numPr>
        <w:spacing w:after="80" w:line="280"/>
      </w:pPr>
      <w:r>
        <w:rPr>
          <w:rFonts w:ascii="Calibri" w:cs="Calibri" w:eastAsia="Calibri" w:hAnsi="Calibri"/>
          <w:sz w:val="22"/>
          <w:szCs w:val="22"/>
        </w:rPr>
        <w:t xml:space="preserve">Payments are subject to applicable tax withholding, sanctions screening, and KYC;</w:t>
      </w:r>
    </w:p>
    <w:p>
      <w:pPr>
        <w:pStyle w:val="ListParagraph"/>
        <w:numPr>
          <w:ilvl w:val="0"/>
          <w:numId w:val="2"/>
        </w:numPr>
        <w:spacing w:after="80" w:line="280"/>
      </w:pPr>
      <w:r>
        <w:rPr>
          <w:rFonts w:ascii="Calibri" w:cs="Calibri" w:eastAsia="Calibri" w:hAnsi="Calibri"/>
          <w:sz w:val="22"/>
          <w:szCs w:val="22"/>
        </w:rPr>
        <w:t xml:space="preserve">Bounty programme rules are published at www.riseupcreators.com/security/bug-bounty and form part of this Policy when published.</w:t>
      </w:r>
    </w:p>
    <w:p>
      <w:pPr>
        <w:pStyle w:val="Heading1"/>
        <w:spacing w:after="180" w:before="360" w:line="300"/>
      </w:pPr>
      <w:r>
        <w:rPr>
          <w:rFonts w:ascii="Calibri" w:cs="Calibri" w:eastAsia="Calibri" w:hAnsi="Calibri"/>
          <w:b/>
          <w:bCs/>
          <w:color w:val="1F3864"/>
          <w:sz w:val="30"/>
          <w:szCs w:val="30"/>
        </w:rPr>
        <w:t xml:space="preserve">9. Internal Incident Detection and Response</w:t>
      </w:r>
    </w:p>
    <w:p>
      <w:pPr>
        <w:pStyle w:val="Heading2"/>
        <w:spacing w:after="120" w:before="240" w:line="300"/>
      </w:pPr>
      <w:r>
        <w:rPr>
          <w:rFonts w:ascii="Calibri" w:cs="Calibri" w:eastAsia="Calibri" w:hAnsi="Calibri"/>
          <w:b/>
          <w:bCs/>
          <w:color w:val="2E5496"/>
          <w:sz w:val="26"/>
          <w:szCs w:val="26"/>
        </w:rPr>
        <w:t xml:space="preserve">A. Incident Response Plan</w:t>
      </w:r>
    </w:p>
    <w:p>
      <w:pPr>
        <w:spacing w:after="120" w:line="300"/>
      </w:pPr>
      <w:r>
        <w:rPr>
          <w:rFonts w:ascii="Calibri" w:cs="Calibri" w:eastAsia="Calibri" w:hAnsi="Calibri"/>
          <w:sz w:val="22"/>
          <w:szCs w:val="22"/>
        </w:rPr>
        <w:t xml:space="preserve">The Platform maintains a documented Incident Response Plan covering: detection, triage, containment, eradication, recovery, post-incident review, and lessons learned, consistent with NIST SP 800-61 (as a reference framework) and ISO/IEC 27035.</w:t>
      </w:r>
    </w:p>
    <w:p>
      <w:pPr>
        <w:pStyle w:val="Heading2"/>
        <w:spacing w:after="120" w:before="240" w:line="300"/>
      </w:pPr>
      <w:r>
        <w:rPr>
          <w:rFonts w:ascii="Calibri" w:cs="Calibri" w:eastAsia="Calibri" w:hAnsi="Calibri"/>
          <w:b/>
          <w:bCs/>
          <w:color w:val="2E5496"/>
          <w:sz w:val="26"/>
          <w:szCs w:val="26"/>
        </w:rPr>
        <w:t xml:space="preserve">B. Roles</w:t>
      </w:r>
    </w:p>
    <w:p>
      <w:pPr>
        <w:pStyle w:val="ListParagraph"/>
        <w:numPr>
          <w:ilvl w:val="0"/>
          <w:numId w:val="2"/>
        </w:numPr>
        <w:spacing w:after="80" w:line="280"/>
      </w:pPr>
      <w:r>
        <w:rPr>
          <w:rFonts w:ascii="Calibri" w:cs="Calibri" w:eastAsia="Calibri" w:hAnsi="Calibri"/>
          <w:b/>
          <w:bCs/>
          <w:sz w:val="22"/>
          <w:szCs w:val="22"/>
        </w:rPr>
        <w:t xml:space="preserve">Incident Commander</w:t>
      </w:r>
      <w:r>
        <w:rPr>
          <w:rFonts w:ascii="Calibri" w:cs="Calibri" w:eastAsia="Calibri" w:hAnsi="Calibri"/>
          <w:sz w:val="22"/>
          <w:szCs w:val="22"/>
        </w:rPr>
        <w:t xml:space="preserve"> — coordinates response;</w:t>
      </w:r>
    </w:p>
    <w:p>
      <w:pPr>
        <w:pStyle w:val="ListParagraph"/>
        <w:numPr>
          <w:ilvl w:val="0"/>
          <w:numId w:val="2"/>
        </w:numPr>
        <w:spacing w:after="80" w:line="280"/>
      </w:pPr>
      <w:r>
        <w:rPr>
          <w:rFonts w:ascii="Calibri" w:cs="Calibri" w:eastAsia="Calibri" w:hAnsi="Calibri"/>
          <w:b/>
          <w:bCs/>
          <w:sz w:val="22"/>
          <w:szCs w:val="22"/>
        </w:rPr>
        <w:t xml:space="preserve">Security Operations</w:t>
      </w:r>
      <w:r>
        <w:rPr>
          <w:rFonts w:ascii="Calibri" w:cs="Calibri" w:eastAsia="Calibri" w:hAnsi="Calibri"/>
          <w:sz w:val="22"/>
          <w:szCs w:val="22"/>
        </w:rPr>
        <w:t xml:space="preserve"> — technical containment and forensics;</w:t>
      </w:r>
    </w:p>
    <w:p>
      <w:pPr>
        <w:pStyle w:val="ListParagraph"/>
        <w:numPr>
          <w:ilvl w:val="0"/>
          <w:numId w:val="2"/>
        </w:numPr>
        <w:spacing w:after="80" w:line="280"/>
      </w:pPr>
      <w:r>
        <w:rPr>
          <w:rFonts w:ascii="Calibri" w:cs="Calibri" w:eastAsia="Calibri" w:hAnsi="Calibri"/>
          <w:b/>
          <w:bCs/>
          <w:sz w:val="22"/>
          <w:szCs w:val="22"/>
        </w:rPr>
        <w:t xml:space="preserve">Privacy / DPO</w:t>
      </w:r>
      <w:r>
        <w:rPr>
          <w:rFonts w:ascii="Calibri" w:cs="Calibri" w:eastAsia="Calibri" w:hAnsi="Calibri"/>
          <w:sz w:val="22"/>
          <w:szCs w:val="22"/>
        </w:rPr>
        <w:t xml:space="preserve"> — assesses Personal Data impact and notifications;</w:t>
      </w:r>
    </w:p>
    <w:p>
      <w:pPr>
        <w:pStyle w:val="ListParagraph"/>
        <w:numPr>
          <w:ilvl w:val="0"/>
          <w:numId w:val="2"/>
        </w:numPr>
        <w:spacing w:after="80" w:line="280"/>
      </w:pPr>
      <w:r>
        <w:rPr>
          <w:rFonts w:ascii="Calibri" w:cs="Calibri" w:eastAsia="Calibri" w:hAnsi="Calibri"/>
          <w:b/>
          <w:bCs/>
          <w:sz w:val="22"/>
          <w:szCs w:val="22"/>
        </w:rPr>
        <w:t xml:space="preserve">Legal</w:t>
      </w:r>
      <w:r>
        <w:rPr>
          <w:rFonts w:ascii="Calibri" w:cs="Calibri" w:eastAsia="Calibri" w:hAnsi="Calibri"/>
          <w:sz w:val="22"/>
          <w:szCs w:val="22"/>
        </w:rPr>
        <w:t xml:space="preserve"> — assesses statutory notification obligations and liaison with regulators / law enforcement;</w:t>
      </w:r>
    </w:p>
    <w:p>
      <w:pPr>
        <w:pStyle w:val="ListParagraph"/>
        <w:numPr>
          <w:ilvl w:val="0"/>
          <w:numId w:val="2"/>
        </w:numPr>
        <w:spacing w:after="80" w:line="280"/>
      </w:pPr>
      <w:r>
        <w:rPr>
          <w:rFonts w:ascii="Calibri" w:cs="Calibri" w:eastAsia="Calibri" w:hAnsi="Calibri"/>
          <w:b/>
          <w:bCs/>
          <w:sz w:val="22"/>
          <w:szCs w:val="22"/>
        </w:rPr>
        <w:t xml:space="preserve">Communications</w:t>
      </w:r>
      <w:r>
        <w:rPr>
          <w:rFonts w:ascii="Calibri" w:cs="Calibri" w:eastAsia="Calibri" w:hAnsi="Calibri"/>
          <w:sz w:val="22"/>
          <w:szCs w:val="22"/>
        </w:rPr>
        <w:t xml:space="preserve"> — internal and external messaging;</w:t>
      </w:r>
    </w:p>
    <w:p>
      <w:pPr>
        <w:pStyle w:val="ListParagraph"/>
        <w:numPr>
          <w:ilvl w:val="0"/>
          <w:numId w:val="2"/>
        </w:numPr>
        <w:spacing w:after="80" w:line="280"/>
      </w:pPr>
      <w:r>
        <w:rPr>
          <w:rFonts w:ascii="Calibri" w:cs="Calibri" w:eastAsia="Calibri" w:hAnsi="Calibri"/>
          <w:b/>
          <w:bCs/>
          <w:sz w:val="22"/>
          <w:szCs w:val="22"/>
        </w:rPr>
        <w:t xml:space="preserve">Executive Sponsor</w:t>
      </w:r>
      <w:r>
        <w:rPr>
          <w:rFonts w:ascii="Calibri" w:cs="Calibri" w:eastAsia="Calibri" w:hAnsi="Calibri"/>
          <w:sz w:val="22"/>
          <w:szCs w:val="22"/>
        </w:rPr>
        <w:t xml:space="preserve"> — escalation and resource authorisation.</w:t>
      </w:r>
    </w:p>
    <w:p>
      <w:pPr>
        <w:pStyle w:val="Heading2"/>
        <w:spacing w:after="120" w:before="240" w:line="300"/>
      </w:pPr>
      <w:r>
        <w:rPr>
          <w:rFonts w:ascii="Calibri" w:cs="Calibri" w:eastAsia="Calibri" w:hAnsi="Calibri"/>
          <w:b/>
          <w:bCs/>
          <w:color w:val="2E5496"/>
          <w:sz w:val="26"/>
          <w:szCs w:val="26"/>
        </w:rPr>
        <w:t xml:space="preserve">C. Severity Tiers</w:t>
      </w:r>
    </w:p>
    <w:p>
      <w:pPr>
        <w:spacing w:after="120" w:line="300"/>
      </w:pPr>
      <w:r>
        <w:rPr>
          <w:rFonts w:ascii="Calibri" w:cs="Calibri" w:eastAsia="Calibri" w:hAnsi="Calibri"/>
          <w:sz w:val="22"/>
          <w:szCs w:val="22"/>
        </w:rPr>
        <w:t xml:space="preserve">The Platform classifies incidents by severity (Critical / High / Medium / Low / Informational) based on data sensitivity, affected User count, exploitability, and business impact. The classification drives notification, containment, and resource decisions.</w:t>
      </w:r>
    </w:p>
    <w:p>
      <w:pPr>
        <w:pStyle w:val="Heading2"/>
        <w:spacing w:after="120" w:before="240" w:line="300"/>
      </w:pPr>
      <w:r>
        <w:rPr>
          <w:rFonts w:ascii="Calibri" w:cs="Calibri" w:eastAsia="Calibri" w:hAnsi="Calibri"/>
          <w:b/>
          <w:bCs/>
          <w:color w:val="2E5496"/>
          <w:sz w:val="26"/>
          <w:szCs w:val="26"/>
        </w:rPr>
        <w:t xml:space="preserve">D. Forensics and Preservation</w:t>
      </w:r>
    </w:p>
    <w:p>
      <w:pPr>
        <w:spacing w:after="120" w:line="300"/>
      </w:pPr>
      <w:r>
        <w:rPr>
          <w:rFonts w:ascii="Calibri" w:cs="Calibri" w:eastAsia="Calibri" w:hAnsi="Calibri"/>
          <w:sz w:val="22"/>
          <w:szCs w:val="22"/>
        </w:rPr>
        <w:t xml:space="preserve">Forensic data, system logs, and other evidence are preserved consistent with the 180-day log-retention obligation in the CERT-In Directions 2022, the Indian Evidence Act, 1872 / Bharatiya Sakshya Adhiniyam, 2023, and any applicable legal hold.</w:t>
      </w:r>
    </w:p>
    <w:p>
      <w:pPr>
        <w:pStyle w:val="Heading1"/>
        <w:spacing w:after="180" w:before="360" w:line="300"/>
      </w:pPr>
      <w:r>
        <w:rPr>
          <w:rFonts w:ascii="Calibri" w:cs="Calibri" w:eastAsia="Calibri" w:hAnsi="Calibri"/>
          <w:b/>
          <w:bCs/>
          <w:color w:val="1F3864"/>
          <w:sz w:val="30"/>
          <w:szCs w:val="30"/>
        </w:rPr>
        <w:t xml:space="preserve">10. Mandatory External Notifications</w:t>
      </w:r>
    </w:p>
    <w:p>
      <w:pPr>
        <w:pStyle w:val="Heading2"/>
        <w:spacing w:after="120" w:before="240" w:line="300"/>
      </w:pPr>
      <w:r>
        <w:rPr>
          <w:rFonts w:ascii="Calibri" w:cs="Calibri" w:eastAsia="Calibri" w:hAnsi="Calibri"/>
          <w:b/>
          <w:bCs/>
          <w:color w:val="2E5496"/>
          <w:sz w:val="26"/>
          <w:szCs w:val="26"/>
        </w:rPr>
        <w:t xml:space="preserve">A. CERT-In — 6-Hour Reporting (Directions of 28 April 2022)</w:t>
      </w:r>
    </w:p>
    <w:p>
      <w:pPr>
        <w:spacing w:after="120" w:line="300"/>
      </w:pPr>
      <w:r>
        <w:rPr>
          <w:rFonts w:ascii="Calibri" w:cs="Calibri" w:eastAsia="Calibri" w:hAnsi="Calibri"/>
          <w:sz w:val="22"/>
          <w:szCs w:val="22"/>
        </w:rPr>
        <w:t xml:space="preserve">For any Cyber Incident falling within Annexure I of the CERT-In Directions 2022 (including, without limitation, targeted scanning/probing of critical networks, compromise of critical systems, unauthorised access to IT systems/data, defacement of websites or intrusion into a website, malicious code attacks such as ransomware, attacks on servers/network appliances such as routers/IoT devices, identity-theft / spoofing / phishing attacks, DDoS attacks, attacks on critical infrastructure, attacks on payment systems and applications, attacks on application-systems such as social-media/e-commerce/digital-payment, fake mobile applications, and data breach / data leak), the Platform shall:</w:t>
      </w:r>
    </w:p>
    <w:p>
      <w:pPr>
        <w:pStyle w:val="ListParagraph"/>
        <w:numPr>
          <w:ilvl w:val="0"/>
          <w:numId w:val="2"/>
        </w:numPr>
        <w:spacing w:after="80" w:line="280"/>
      </w:pPr>
      <w:r>
        <w:rPr>
          <w:rFonts w:ascii="Calibri" w:cs="Calibri" w:eastAsia="Calibri" w:hAnsi="Calibri"/>
          <w:b/>
          <w:bCs/>
          <w:sz w:val="22"/>
          <w:szCs w:val="22"/>
        </w:rPr>
        <w:t xml:space="preserve">Report to CERT-In within six (6) hours</w:t>
      </w:r>
      <w:r>
        <w:rPr>
          <w:rFonts w:ascii="Calibri" w:cs="Calibri" w:eastAsia="Calibri" w:hAnsi="Calibri"/>
          <w:sz w:val="22"/>
          <w:szCs w:val="22"/>
        </w:rPr>
        <w:t xml:space="preserve"> of noticing or being brought to notice of the Incident;</w:t>
      </w:r>
    </w:p>
    <w:p>
      <w:pPr>
        <w:pStyle w:val="ListParagraph"/>
        <w:numPr>
          <w:ilvl w:val="0"/>
          <w:numId w:val="2"/>
        </w:numPr>
        <w:spacing w:after="80" w:line="280"/>
      </w:pPr>
      <w:r>
        <w:rPr>
          <w:rFonts w:ascii="Calibri" w:cs="Calibri" w:eastAsia="Calibri" w:hAnsi="Calibri"/>
          <w:sz w:val="22"/>
          <w:szCs w:val="22"/>
        </w:rPr>
        <w:t xml:space="preserve">Use the prescribed reporting format and channels (https://www.cert-in.org.in);</w:t>
      </w:r>
    </w:p>
    <w:p>
      <w:pPr>
        <w:pStyle w:val="ListParagraph"/>
        <w:numPr>
          <w:ilvl w:val="0"/>
          <w:numId w:val="2"/>
        </w:numPr>
        <w:spacing w:after="80" w:line="280"/>
      </w:pPr>
      <w:r>
        <w:rPr>
          <w:rFonts w:ascii="Calibri" w:cs="Calibri" w:eastAsia="Calibri" w:hAnsi="Calibri"/>
          <w:sz w:val="22"/>
          <w:szCs w:val="22"/>
        </w:rPr>
        <w:t xml:space="preserve">Provide all additional information CERT-In may seek, within the timeline directed;</w:t>
      </w:r>
    </w:p>
    <w:p>
      <w:pPr>
        <w:pStyle w:val="ListParagraph"/>
        <w:numPr>
          <w:ilvl w:val="0"/>
          <w:numId w:val="2"/>
        </w:numPr>
        <w:spacing w:after="80" w:line="280"/>
      </w:pPr>
      <w:r>
        <w:rPr>
          <w:rFonts w:ascii="Calibri" w:cs="Calibri" w:eastAsia="Calibri" w:hAnsi="Calibri"/>
          <w:sz w:val="22"/>
          <w:szCs w:val="22"/>
        </w:rPr>
        <w:t xml:space="preserve">Cooperate with CERT-In's investigation and any directions issued.</w:t>
      </w:r>
    </w:p>
    <w:p>
      <w:pPr>
        <w:pStyle w:val="Heading2"/>
        <w:spacing w:after="120" w:before="240" w:line="300"/>
      </w:pPr>
      <w:r>
        <w:rPr>
          <w:rFonts w:ascii="Calibri" w:cs="Calibri" w:eastAsia="Calibri" w:hAnsi="Calibri"/>
          <w:b/>
          <w:bCs/>
          <w:color w:val="2E5496"/>
          <w:sz w:val="26"/>
          <w:szCs w:val="26"/>
        </w:rPr>
        <w:t xml:space="preserve">B. Data Protection Board of India — DPDP §8(6) Notification</w:t>
      </w:r>
    </w:p>
    <w:p>
      <w:pPr>
        <w:spacing w:after="120" w:line="300"/>
      </w:pPr>
      <w:r>
        <w:rPr>
          <w:rFonts w:ascii="Calibri" w:cs="Calibri" w:eastAsia="Calibri" w:hAnsi="Calibri"/>
          <w:sz w:val="22"/>
          <w:szCs w:val="22"/>
        </w:rPr>
        <w:t xml:space="preserve">In the event of a Personal Data Breach, the Platform shall, in the manner and as may be prescribed under the DPDP Act, 2023 and rules thereunder:</w:t>
      </w:r>
    </w:p>
    <w:p>
      <w:pPr>
        <w:pStyle w:val="ListParagraph"/>
        <w:numPr>
          <w:ilvl w:val="0"/>
          <w:numId w:val="2"/>
        </w:numPr>
        <w:spacing w:after="80" w:line="280"/>
      </w:pPr>
      <w:r>
        <w:rPr>
          <w:rFonts w:ascii="Calibri" w:cs="Calibri" w:eastAsia="Calibri" w:hAnsi="Calibri"/>
          <w:b/>
          <w:bCs/>
          <w:sz w:val="22"/>
          <w:szCs w:val="22"/>
        </w:rPr>
        <w:t xml:space="preserve">Notify the Data Protection Board of India</w:t>
      </w:r>
      <w:r>
        <w:rPr>
          <w:rFonts w:ascii="Calibri" w:cs="Calibri" w:eastAsia="Calibri" w:hAnsi="Calibri"/>
          <w:sz w:val="22"/>
          <w:szCs w:val="22"/>
        </w:rPr>
        <w:t xml:space="preserve">;</w:t>
      </w:r>
    </w:p>
    <w:p>
      <w:pPr>
        <w:pStyle w:val="ListParagraph"/>
        <w:numPr>
          <w:ilvl w:val="0"/>
          <w:numId w:val="2"/>
        </w:numPr>
        <w:spacing w:after="80" w:line="280"/>
      </w:pPr>
      <w:r>
        <w:rPr>
          <w:rFonts w:ascii="Calibri" w:cs="Calibri" w:eastAsia="Calibri" w:hAnsi="Calibri"/>
          <w:b/>
          <w:bCs/>
          <w:sz w:val="22"/>
          <w:szCs w:val="22"/>
        </w:rPr>
        <w:t xml:space="preserve">Notify each affected Data Principal (User)</w:t>
      </w:r>
      <w:r>
        <w:rPr>
          <w:rFonts w:ascii="Calibri" w:cs="Calibri" w:eastAsia="Calibri" w:hAnsi="Calibri"/>
          <w:sz w:val="22"/>
          <w:szCs w:val="22"/>
        </w:rPr>
        <w:t xml:space="preserve">;</w:t>
      </w:r>
    </w:p>
    <w:p>
      <w:pPr>
        <w:pStyle w:val="ListParagraph"/>
        <w:numPr>
          <w:ilvl w:val="0"/>
          <w:numId w:val="2"/>
        </w:numPr>
        <w:spacing w:after="80" w:line="280"/>
      </w:pPr>
      <w:r>
        <w:rPr>
          <w:rFonts w:ascii="Calibri" w:cs="Calibri" w:eastAsia="Calibri" w:hAnsi="Calibri"/>
          <w:sz w:val="22"/>
          <w:szCs w:val="22"/>
        </w:rPr>
        <w:t xml:space="preserve">Provide the description, scope, consequences, and measures taken, consistent with §8(6) read with applicable rules.</w:t>
      </w:r>
    </w:p>
    <w:p>
      <w:pPr>
        <w:pStyle w:val="Heading2"/>
        <w:spacing w:after="120" w:before="240" w:line="300"/>
      </w:pPr>
      <w:r>
        <w:rPr>
          <w:rFonts w:ascii="Calibri" w:cs="Calibri" w:eastAsia="Calibri" w:hAnsi="Calibri"/>
          <w:b/>
          <w:bCs/>
          <w:color w:val="2E5496"/>
          <w:sz w:val="26"/>
          <w:szCs w:val="26"/>
        </w:rPr>
        <w:t xml:space="preserve">C. Other Indian Notifications</w:t>
      </w:r>
    </w:p>
    <w:p>
      <w:pPr>
        <w:pStyle w:val="ListParagraph"/>
        <w:numPr>
          <w:ilvl w:val="0"/>
          <w:numId w:val="2"/>
        </w:numPr>
        <w:spacing w:after="80" w:line="280"/>
      </w:pPr>
      <w:r>
        <w:rPr>
          <w:rFonts w:ascii="Calibri" w:cs="Calibri" w:eastAsia="Calibri" w:hAnsi="Calibri"/>
          <w:b/>
          <w:bCs/>
          <w:sz w:val="22"/>
          <w:szCs w:val="22"/>
        </w:rPr>
        <w:t xml:space="preserve">Sectoral regulators</w:t>
      </w:r>
      <w:r>
        <w:rPr>
          <w:rFonts w:ascii="Calibri" w:cs="Calibri" w:eastAsia="Calibri" w:hAnsi="Calibri"/>
          <w:sz w:val="22"/>
          <w:szCs w:val="22"/>
        </w:rPr>
        <w:t xml:space="preserve">, where the Incident affects payments, securities, or other regulated activity — notably the Reserve Bank of India where Authorised Payment Partner integrations or payment data are affected;</w:t>
      </w:r>
    </w:p>
    <w:p>
      <w:pPr>
        <w:pStyle w:val="ListParagraph"/>
        <w:numPr>
          <w:ilvl w:val="0"/>
          <w:numId w:val="2"/>
        </w:numPr>
        <w:spacing w:after="80" w:line="280"/>
      </w:pPr>
      <w:r>
        <w:rPr>
          <w:rFonts w:ascii="Calibri" w:cs="Calibri" w:eastAsia="Calibri" w:hAnsi="Calibri"/>
          <w:b/>
          <w:bCs/>
          <w:sz w:val="22"/>
          <w:szCs w:val="22"/>
        </w:rPr>
        <w:t xml:space="preserve">Law enforcement</w:t>
      </w:r>
      <w:r>
        <w:rPr>
          <w:rFonts w:ascii="Calibri" w:cs="Calibri" w:eastAsia="Calibri" w:hAnsi="Calibri"/>
          <w:sz w:val="22"/>
          <w:szCs w:val="22"/>
        </w:rPr>
        <w:t xml:space="preserve"> (state cyber-crime units / National Cyber Crime Reporting Portal), where the Incident constitutes a cognisable offence under the IT Act or the Bharatiya Nyaya Sanhita, 2023.</w:t>
      </w:r>
    </w:p>
    <w:p>
      <w:pPr>
        <w:pStyle w:val="Heading2"/>
        <w:spacing w:after="120" w:before="240" w:line="300"/>
      </w:pPr>
      <w:r>
        <w:rPr>
          <w:rFonts w:ascii="Calibri" w:cs="Calibri" w:eastAsia="Calibri" w:hAnsi="Calibri"/>
          <w:b/>
          <w:bCs/>
          <w:color w:val="2E5496"/>
          <w:sz w:val="26"/>
          <w:szCs w:val="26"/>
        </w:rPr>
        <w:t xml:space="preserve">D. Foreign Notifications</w:t>
      </w:r>
    </w:p>
    <w:p>
      <w:pPr>
        <w:spacing w:after="120" w:line="300"/>
      </w:pPr>
      <w:r>
        <w:rPr>
          <w:rFonts w:ascii="Calibri" w:cs="Calibri" w:eastAsia="Calibri" w:hAnsi="Calibri"/>
          <w:sz w:val="22"/>
          <w:szCs w:val="22"/>
        </w:rPr>
        <w:t xml:space="preserve">Where the Incident affects Users in jurisdictions with separate breach-notification regimes, the Platform shall also comply with:</w:t>
      </w:r>
    </w:p>
    <w:p>
      <w:pPr>
        <w:pStyle w:val="ListParagraph"/>
        <w:numPr>
          <w:ilvl w:val="0"/>
          <w:numId w:val="2"/>
        </w:numPr>
        <w:spacing w:after="80" w:line="280"/>
      </w:pPr>
      <w:r>
        <w:rPr>
          <w:rFonts w:ascii="Calibri" w:cs="Calibri" w:eastAsia="Calibri" w:hAnsi="Calibri"/>
          <w:b/>
          <w:bCs/>
          <w:sz w:val="22"/>
          <w:szCs w:val="22"/>
        </w:rPr>
        <w:t xml:space="preserve">GDPR Articles 33 and 34</w:t>
      </w:r>
      <w:r>
        <w:rPr>
          <w:rFonts w:ascii="Calibri" w:cs="Calibri" w:eastAsia="Calibri" w:hAnsi="Calibri"/>
          <w:sz w:val="22"/>
          <w:szCs w:val="22"/>
        </w:rPr>
        <w:t xml:space="preserve"> — 72-hour notification to the lead supervisory authority and, where high risk, communication to affected Data Subjects;</w:t>
      </w:r>
    </w:p>
    <w:p>
      <w:pPr>
        <w:pStyle w:val="ListParagraph"/>
        <w:numPr>
          <w:ilvl w:val="0"/>
          <w:numId w:val="2"/>
        </w:numPr>
        <w:spacing w:after="80" w:line="280"/>
      </w:pPr>
      <w:r>
        <w:rPr>
          <w:rFonts w:ascii="Calibri" w:cs="Calibri" w:eastAsia="Calibri" w:hAnsi="Calibri"/>
          <w:b/>
          <w:bCs/>
          <w:sz w:val="22"/>
          <w:szCs w:val="22"/>
        </w:rPr>
        <w:t xml:space="preserve">EU NIS2 Directive</w:t>
      </w:r>
      <w:r>
        <w:rPr>
          <w:rFonts w:ascii="Calibri" w:cs="Calibri" w:eastAsia="Calibri" w:hAnsi="Calibri"/>
          <w:sz w:val="22"/>
          <w:szCs w:val="22"/>
        </w:rPr>
        <w:t xml:space="preserve">, where applicable to the Platform as a relevant entity;</w:t>
      </w:r>
    </w:p>
    <w:p>
      <w:pPr>
        <w:pStyle w:val="ListParagraph"/>
        <w:numPr>
          <w:ilvl w:val="0"/>
          <w:numId w:val="2"/>
        </w:numPr>
        <w:spacing w:after="80" w:line="280"/>
      </w:pPr>
      <w:r>
        <w:rPr>
          <w:rFonts w:ascii="Calibri" w:cs="Calibri" w:eastAsia="Calibri" w:hAnsi="Calibri"/>
          <w:b/>
          <w:bCs/>
          <w:sz w:val="22"/>
          <w:szCs w:val="22"/>
        </w:rPr>
        <w:t xml:space="preserve">U.S. state breach-notification laws</w:t>
      </w:r>
      <w:r>
        <w:rPr>
          <w:rFonts w:ascii="Calibri" w:cs="Calibri" w:eastAsia="Calibri" w:hAnsi="Calibri"/>
          <w:sz w:val="22"/>
          <w:szCs w:val="22"/>
        </w:rPr>
        <w:t xml:space="preserve"> (notably California Civil Code §1798.82 and equivalents in other states), where U.S. residents' personal information is affected;</w:t>
      </w:r>
    </w:p>
    <w:p>
      <w:pPr>
        <w:pStyle w:val="ListParagraph"/>
        <w:numPr>
          <w:ilvl w:val="0"/>
          <w:numId w:val="2"/>
        </w:numPr>
        <w:spacing w:after="80" w:line="280"/>
      </w:pPr>
      <w:r>
        <w:rPr>
          <w:rFonts w:ascii="Calibri" w:cs="Calibri" w:eastAsia="Calibri" w:hAnsi="Calibri"/>
          <w:b/>
          <w:bCs/>
          <w:sz w:val="22"/>
          <w:szCs w:val="22"/>
        </w:rPr>
        <w:t xml:space="preserve">Other applicable foreign breach-notification laws</w:t>
      </w:r>
      <w:r>
        <w:rPr>
          <w:rFonts w:ascii="Calibri" w:cs="Calibri" w:eastAsia="Calibri" w:hAnsi="Calibri"/>
          <w:sz w:val="22"/>
          <w:szCs w:val="22"/>
        </w:rPr>
        <w:t xml:space="preserve"> as applicable.</w:t>
      </w:r>
    </w:p>
    <w:p>
      <w:pPr>
        <w:pStyle w:val="Heading2"/>
        <w:spacing w:after="120" w:before="240" w:line="300"/>
      </w:pPr>
      <w:r>
        <w:rPr>
          <w:rFonts w:ascii="Calibri" w:cs="Calibri" w:eastAsia="Calibri" w:hAnsi="Calibri"/>
          <w:b/>
          <w:bCs/>
          <w:color w:val="2E5496"/>
          <w:sz w:val="26"/>
          <w:szCs w:val="26"/>
        </w:rPr>
        <w:t xml:space="preserve">E. User Communication</w:t>
      </w:r>
    </w:p>
    <w:p>
      <w:pPr>
        <w:spacing w:after="120" w:line="300"/>
      </w:pPr>
      <w:r>
        <w:rPr>
          <w:rFonts w:ascii="Calibri" w:cs="Calibri" w:eastAsia="Calibri" w:hAnsi="Calibri"/>
          <w:sz w:val="22"/>
          <w:szCs w:val="22"/>
        </w:rPr>
        <w:t xml:space="preserve">Where User notification is required or appropriate, the Platform communicates clearly: what happened, when, what data was affected, what the Platform has done, what the User can do, and where to seek further information and grievance redressal. The communication is age-appropriate where Minors are affected and accessible to persons with disabilities.</w:t>
      </w:r>
    </w:p>
    <w:p>
      <w:pPr>
        <w:pStyle w:val="Heading1"/>
        <w:spacing w:after="180" w:before="360" w:line="300"/>
      </w:pPr>
      <w:r>
        <w:rPr>
          <w:rFonts w:ascii="Calibri" w:cs="Calibri" w:eastAsia="Calibri" w:hAnsi="Calibri"/>
          <w:b/>
          <w:bCs/>
          <w:color w:val="1F3864"/>
          <w:sz w:val="30"/>
          <w:szCs w:val="30"/>
        </w:rPr>
        <w:t xml:space="preserve">11. Records, Audit, and Transparency</w:t>
      </w:r>
    </w:p>
    <w:p>
      <w:pPr>
        <w:pStyle w:val="Heading2"/>
        <w:spacing w:after="120" w:before="240" w:line="300"/>
      </w:pPr>
      <w:r>
        <w:rPr>
          <w:rFonts w:ascii="Calibri" w:cs="Calibri" w:eastAsia="Calibri" w:hAnsi="Calibri"/>
          <w:b/>
          <w:bCs/>
          <w:color w:val="2E5496"/>
          <w:sz w:val="26"/>
          <w:szCs w:val="26"/>
        </w:rPr>
        <w:t xml:space="preserve">A. Incident Records</w:t>
      </w:r>
    </w:p>
    <w:p>
      <w:pPr>
        <w:spacing w:after="120" w:line="300"/>
      </w:pPr>
      <w:r>
        <w:rPr>
          <w:rFonts w:ascii="Calibri" w:cs="Calibri" w:eastAsia="Calibri" w:hAnsi="Calibri"/>
          <w:sz w:val="22"/>
          <w:szCs w:val="22"/>
        </w:rPr>
        <w:t xml:space="preserve">The Platform maintains an Incident Register containing, for each Incident: timestamps, severity, classification, scope of affected data and Users, containment and remediation actions, notifications made, lessons learned, and any regulatory or law-enforcement engagement. Records are retained per the longer of (a) seven (7) years, (b) periods required by Applicable Law (notably the 180-day ICT log retention under CERT-In Directions 2022 as a minimum for logs), and (c) the duration of any pending litigation or regulatory inquiry.</w:t>
      </w:r>
    </w:p>
    <w:p>
      <w:pPr>
        <w:pStyle w:val="Heading2"/>
        <w:spacing w:after="120" w:before="240" w:line="300"/>
      </w:pPr>
      <w:r>
        <w:rPr>
          <w:rFonts w:ascii="Calibri" w:cs="Calibri" w:eastAsia="Calibri" w:hAnsi="Calibri"/>
          <w:b/>
          <w:bCs/>
          <w:color w:val="2E5496"/>
          <w:sz w:val="26"/>
          <w:szCs w:val="26"/>
        </w:rPr>
        <w:t xml:space="preserve">B. Sub-Processor Notification</w:t>
      </w:r>
    </w:p>
    <w:p>
      <w:pPr>
        <w:spacing w:after="120" w:line="300"/>
      </w:pPr>
      <w:r>
        <w:rPr>
          <w:rFonts w:ascii="Calibri" w:cs="Calibri" w:eastAsia="Calibri" w:hAnsi="Calibri"/>
          <w:sz w:val="22"/>
          <w:szCs w:val="22"/>
        </w:rPr>
        <w:t xml:space="preserve">Where a sub-processor or vendor experiences an Incident affecting Platform data, the Platform requires the sub-processor to notify it without undue delay and cooperates in escalation.</w:t>
      </w:r>
    </w:p>
    <w:p>
      <w:pPr>
        <w:pStyle w:val="Heading2"/>
        <w:spacing w:after="120" w:before="240" w:line="300"/>
      </w:pPr>
      <w:r>
        <w:rPr>
          <w:rFonts w:ascii="Calibri" w:cs="Calibri" w:eastAsia="Calibri" w:hAnsi="Calibri"/>
          <w:b/>
          <w:bCs/>
          <w:color w:val="2E5496"/>
          <w:sz w:val="26"/>
          <w:szCs w:val="26"/>
        </w:rPr>
        <w:t xml:space="preserve">C. Public Transparency</w:t>
      </w:r>
    </w:p>
    <w:p>
      <w:pPr>
        <w:spacing w:after="120" w:line="300"/>
      </w:pPr>
      <w:r>
        <w:rPr>
          <w:rFonts w:ascii="Calibri" w:cs="Calibri" w:eastAsia="Calibri" w:hAnsi="Calibri"/>
          <w:sz w:val="22"/>
          <w:szCs w:val="22"/>
        </w:rPr>
        <w:t xml:space="preserve">Aggregate metrics on Incidents (counts by category, average time-to-notify, remediation status), the Researcher Hall of Fame, and post-incident learnings are published in the Platform's Transparency Report and the security pages, redacted as necessary for ongoing investigations and third-party harm.</w:t>
      </w:r>
    </w:p>
    <w:p>
      <w:pPr>
        <w:pStyle w:val="Heading2"/>
        <w:spacing w:after="120" w:before="240" w:line="300"/>
      </w:pPr>
      <w:r>
        <w:rPr>
          <w:rFonts w:ascii="Calibri" w:cs="Calibri" w:eastAsia="Calibri" w:hAnsi="Calibri"/>
          <w:b/>
          <w:bCs/>
          <w:color w:val="2E5496"/>
          <w:sz w:val="26"/>
          <w:szCs w:val="26"/>
        </w:rPr>
        <w:t xml:space="preserve">D. Evidentiary Value</w:t>
      </w:r>
    </w:p>
    <w:p>
      <w:pPr>
        <w:spacing w:after="120" w:line="300"/>
      </w:pPr>
      <w:r>
        <w:rPr>
          <w:rFonts w:ascii="Calibri" w:cs="Calibri" w:eastAsia="Calibri" w:hAnsi="Calibri"/>
          <w:sz w:val="22"/>
          <w:szCs w:val="22"/>
        </w:rPr>
        <w:t xml:space="preserve">Electronic records under this Policy are admissible under §65B of the Indian Evidence Act, 1872 (continued under the Bharatiya Sakshya Adhiniyam, 2023).</w:t>
      </w:r>
    </w:p>
    <w:p>
      <w:pPr>
        <w:pStyle w:val="Heading1"/>
        <w:spacing w:after="180" w:before="360" w:line="300"/>
      </w:pPr>
      <w:r>
        <w:rPr>
          <w:rFonts w:ascii="Calibri" w:cs="Calibri" w:eastAsia="Calibri" w:hAnsi="Calibri"/>
          <w:b/>
          <w:bCs/>
          <w:color w:val="1F3864"/>
          <w:sz w:val="30"/>
          <w:szCs w:val="30"/>
        </w:rPr>
        <w:t xml:space="preserve">12. User Security Hygiene and Account Recovery</w:t>
      </w:r>
    </w:p>
    <w:p>
      <w:pPr>
        <w:pStyle w:val="Heading2"/>
        <w:spacing w:after="120" w:before="240" w:line="300"/>
      </w:pPr>
      <w:r>
        <w:rPr>
          <w:rFonts w:ascii="Calibri" w:cs="Calibri" w:eastAsia="Calibri" w:hAnsi="Calibri"/>
          <w:b/>
          <w:bCs/>
          <w:color w:val="2E5496"/>
          <w:sz w:val="26"/>
          <w:szCs w:val="26"/>
        </w:rPr>
        <w:t xml:space="preserve">A. User Responsibilities</w:t>
      </w:r>
    </w:p>
    <w:p>
      <w:pPr>
        <w:spacing w:after="120" w:line="300"/>
      </w:pPr>
      <w:r>
        <w:rPr>
          <w:rFonts w:ascii="Calibri" w:cs="Calibri" w:eastAsia="Calibri" w:hAnsi="Calibri"/>
          <w:sz w:val="22"/>
          <w:szCs w:val="22"/>
        </w:rPr>
        <w:t xml:space="preserve">Users are responsible for:</w:t>
      </w:r>
    </w:p>
    <w:p>
      <w:pPr>
        <w:pStyle w:val="ListParagraph"/>
        <w:numPr>
          <w:ilvl w:val="0"/>
          <w:numId w:val="2"/>
        </w:numPr>
        <w:spacing w:after="80" w:line="280"/>
      </w:pPr>
      <w:r>
        <w:rPr>
          <w:rFonts w:ascii="Calibri" w:cs="Calibri" w:eastAsia="Calibri" w:hAnsi="Calibri"/>
          <w:sz w:val="22"/>
          <w:szCs w:val="22"/>
        </w:rPr>
        <w:t xml:space="preserve">Choosing strong, unique passwords;</w:t>
      </w:r>
    </w:p>
    <w:p>
      <w:pPr>
        <w:pStyle w:val="ListParagraph"/>
        <w:numPr>
          <w:ilvl w:val="0"/>
          <w:numId w:val="2"/>
        </w:numPr>
        <w:spacing w:after="80" w:line="280"/>
      </w:pPr>
      <w:r>
        <w:rPr>
          <w:rFonts w:ascii="Calibri" w:cs="Calibri" w:eastAsia="Calibri" w:hAnsi="Calibri"/>
          <w:sz w:val="22"/>
          <w:szCs w:val="22"/>
        </w:rPr>
        <w:t xml:space="preserve">Enabling multi-factor authentication where offered;</w:t>
      </w:r>
    </w:p>
    <w:p>
      <w:pPr>
        <w:pStyle w:val="ListParagraph"/>
        <w:numPr>
          <w:ilvl w:val="0"/>
          <w:numId w:val="2"/>
        </w:numPr>
        <w:spacing w:after="80" w:line="280"/>
      </w:pPr>
      <w:r>
        <w:rPr>
          <w:rFonts w:ascii="Calibri" w:cs="Calibri" w:eastAsia="Calibri" w:hAnsi="Calibri"/>
          <w:sz w:val="22"/>
          <w:szCs w:val="22"/>
        </w:rPr>
        <w:t xml:space="preserve">Protecting their credentials and devices;</w:t>
      </w:r>
    </w:p>
    <w:p>
      <w:pPr>
        <w:pStyle w:val="ListParagraph"/>
        <w:numPr>
          <w:ilvl w:val="0"/>
          <w:numId w:val="2"/>
        </w:numPr>
        <w:spacing w:after="80" w:line="280"/>
      </w:pPr>
      <w:r>
        <w:rPr>
          <w:rFonts w:ascii="Calibri" w:cs="Calibri" w:eastAsia="Calibri" w:hAnsi="Calibri"/>
          <w:sz w:val="22"/>
          <w:szCs w:val="22"/>
        </w:rPr>
        <w:t xml:space="preserve">Reporting suspected compromise of their Account promptly to security@riseupcreators.com;</w:t>
      </w:r>
    </w:p>
    <w:p>
      <w:pPr>
        <w:pStyle w:val="ListParagraph"/>
        <w:numPr>
          <w:ilvl w:val="0"/>
          <w:numId w:val="2"/>
        </w:numPr>
        <w:spacing w:after="80" w:line="280"/>
      </w:pPr>
      <w:r>
        <w:rPr>
          <w:rFonts w:ascii="Calibri" w:cs="Calibri" w:eastAsia="Calibri" w:hAnsi="Calibri"/>
          <w:sz w:val="22"/>
          <w:szCs w:val="22"/>
        </w:rPr>
        <w:t xml:space="preserve">Keeping their recovery email / phone updated.</w:t>
      </w:r>
    </w:p>
    <w:p>
      <w:pPr>
        <w:pStyle w:val="Heading2"/>
        <w:spacing w:after="120" w:before="240" w:line="300"/>
      </w:pPr>
      <w:r>
        <w:rPr>
          <w:rFonts w:ascii="Calibri" w:cs="Calibri" w:eastAsia="Calibri" w:hAnsi="Calibri"/>
          <w:b/>
          <w:bCs/>
          <w:color w:val="2E5496"/>
          <w:sz w:val="26"/>
          <w:szCs w:val="26"/>
        </w:rPr>
        <w:t xml:space="preserve">B. Compromised Account Recovery</w:t>
      </w:r>
    </w:p>
    <w:p>
      <w:pPr>
        <w:spacing w:after="120" w:line="300"/>
      </w:pPr>
      <w:r>
        <w:rPr>
          <w:rFonts w:ascii="Calibri" w:cs="Calibri" w:eastAsia="Calibri" w:hAnsi="Calibri"/>
          <w:sz w:val="22"/>
          <w:szCs w:val="22"/>
        </w:rPr>
        <w:t xml:space="preserve">Users who suspect Account compromise should:</w:t>
      </w:r>
    </w:p>
    <w:p>
      <w:pPr>
        <w:pStyle w:val="ListParagraph"/>
        <w:numPr>
          <w:ilvl w:val="0"/>
          <w:numId w:val="2"/>
        </w:numPr>
        <w:spacing w:after="80" w:line="280"/>
      </w:pPr>
      <w:r>
        <w:rPr>
          <w:rFonts w:ascii="Calibri" w:cs="Calibri" w:eastAsia="Calibri" w:hAnsi="Calibri"/>
          <w:sz w:val="22"/>
          <w:szCs w:val="22"/>
        </w:rPr>
        <w:t xml:space="preserve">Change their password and revoke active sessions immediately;</w:t>
      </w:r>
    </w:p>
    <w:p>
      <w:pPr>
        <w:pStyle w:val="ListParagraph"/>
        <w:numPr>
          <w:ilvl w:val="0"/>
          <w:numId w:val="2"/>
        </w:numPr>
        <w:spacing w:after="80" w:line="280"/>
      </w:pPr>
      <w:r>
        <w:rPr>
          <w:rFonts w:ascii="Calibri" w:cs="Calibri" w:eastAsia="Calibri" w:hAnsi="Calibri"/>
          <w:sz w:val="22"/>
          <w:szCs w:val="22"/>
        </w:rPr>
        <w:t xml:space="preserve">Enable / re-enable MFA;</w:t>
      </w:r>
    </w:p>
    <w:p>
      <w:pPr>
        <w:pStyle w:val="ListParagraph"/>
        <w:numPr>
          <w:ilvl w:val="0"/>
          <w:numId w:val="2"/>
        </w:numPr>
        <w:spacing w:after="80" w:line="280"/>
      </w:pPr>
      <w:r>
        <w:rPr>
          <w:rFonts w:ascii="Calibri" w:cs="Calibri" w:eastAsia="Calibri" w:hAnsi="Calibri"/>
          <w:sz w:val="22"/>
          <w:szCs w:val="22"/>
        </w:rPr>
        <w:t xml:space="preserve">Review recent activity, payouts, and connected applications;</w:t>
      </w:r>
    </w:p>
    <w:p>
      <w:pPr>
        <w:pStyle w:val="ListParagraph"/>
        <w:numPr>
          <w:ilvl w:val="0"/>
          <w:numId w:val="2"/>
        </w:numPr>
        <w:spacing w:after="80" w:line="280"/>
      </w:pPr>
      <w:r>
        <w:rPr>
          <w:rFonts w:ascii="Calibri" w:cs="Calibri" w:eastAsia="Calibri" w:hAnsi="Calibri"/>
          <w:sz w:val="22"/>
          <w:szCs w:val="22"/>
        </w:rPr>
        <w:t xml:space="preserve">Contact security@riseupcreators.com.</w:t>
      </w:r>
    </w:p>
    <w:p>
      <w:pPr>
        <w:spacing w:after="120" w:line="300"/>
      </w:pPr>
      <w:r>
        <w:rPr>
          <w:rFonts w:ascii="Calibri" w:cs="Calibri" w:eastAsia="Calibri" w:hAnsi="Calibri"/>
          <w:sz w:val="22"/>
          <w:szCs w:val="22"/>
        </w:rPr>
        <w:t xml:space="preserve">The Platform supports compromised-Account recovery and may apply temporary restrictions to protect the User during recovery.</w:t>
      </w:r>
    </w:p>
    <w:p>
      <w:pPr>
        <w:pStyle w:val="Heading2"/>
        <w:spacing w:after="120" w:before="240" w:line="300"/>
      </w:pPr>
      <w:r>
        <w:rPr>
          <w:rFonts w:ascii="Calibri" w:cs="Calibri" w:eastAsia="Calibri" w:hAnsi="Calibri"/>
          <w:b/>
          <w:bCs/>
          <w:color w:val="2E5496"/>
          <w:sz w:val="26"/>
          <w:szCs w:val="26"/>
        </w:rPr>
        <w:t xml:space="preserve">C. Phishing</w:t>
      </w:r>
    </w:p>
    <w:p>
      <w:pPr>
        <w:spacing w:after="120" w:line="300"/>
      </w:pPr>
      <w:r>
        <w:rPr>
          <w:rFonts w:ascii="Calibri" w:cs="Calibri" w:eastAsia="Calibri" w:hAnsi="Calibri"/>
          <w:sz w:val="22"/>
          <w:szCs w:val="22"/>
        </w:rPr>
        <w:t xml:space="preserve">The Platform does not ask Users for passwords, MFA codes, or full payment-card numbers by email, phone, or social-media DM. Users who receive such requests should report them to security@riseupcreators.com.</w:t>
      </w:r>
    </w:p>
    <w:p>
      <w:pPr>
        <w:pStyle w:val="Heading1"/>
        <w:spacing w:after="180" w:before="360" w:line="300"/>
      </w:pPr>
      <w:r>
        <w:rPr>
          <w:rFonts w:ascii="Calibri" w:cs="Calibri" w:eastAsia="Calibri" w:hAnsi="Calibri"/>
          <w:b/>
          <w:bCs/>
          <w:color w:val="1F3864"/>
          <w:sz w:val="30"/>
          <w:szCs w:val="30"/>
        </w:rPr>
        <w:t xml:space="preserve">13. Limitations and Disclaimers</w:t>
      </w:r>
    </w:p>
    <w:p>
      <w:pPr>
        <w:spacing w:after="120" w:line="300"/>
      </w:pPr>
      <w:r>
        <w:rPr>
          <w:rFonts w:ascii="Calibri" w:cs="Calibri" w:eastAsia="Calibri" w:hAnsi="Calibri"/>
          <w:sz w:val="22"/>
          <w:szCs w:val="22"/>
        </w:rPr>
        <w:t xml:space="preserve">This Policy does not, and is not intended to, create any third-party rights or warranties beyond those expressly stated. To the maximum extent permitted by law, the Platform's security commitments are statements of programme and not absolute warranties; the Platform's liability for security incidents is governed by §17 of the Terms of Service, subject to non-excludable statutory rights.</w:t>
      </w:r>
    </w:p>
    <w:p>
      <w:pPr>
        <w:pStyle w:val="Heading1"/>
        <w:spacing w:after="180" w:before="360" w:line="300"/>
      </w:pPr>
      <w:r>
        <w:rPr>
          <w:rFonts w:ascii="Calibri" w:cs="Calibri" w:eastAsia="Calibri" w:hAnsi="Calibri"/>
          <w:b/>
          <w:bCs/>
          <w:color w:val="1F3864"/>
          <w:sz w:val="30"/>
          <w:szCs w:val="30"/>
        </w:rPr>
        <w:t xml:space="preserve">14. Governing Law, Dispute Resolution, and Amendments</w:t>
      </w:r>
    </w:p>
    <w:p>
      <w:pPr>
        <w:pStyle w:val="Heading2"/>
        <w:spacing w:after="120" w:before="240" w:line="300"/>
      </w:pPr>
      <w:r>
        <w:rPr>
          <w:rFonts w:ascii="Calibri" w:cs="Calibri" w:eastAsia="Calibri" w:hAnsi="Calibri"/>
          <w:b/>
          <w:bCs/>
          <w:color w:val="2E5496"/>
          <w:sz w:val="26"/>
          <w:szCs w:val="26"/>
        </w:rPr>
        <w:t xml:space="preserve">A. Governing Law</w:t>
      </w:r>
    </w:p>
    <w:p>
      <w:pPr>
        <w:spacing w:after="120" w:line="300"/>
      </w:pPr>
      <w:r>
        <w:rPr>
          <w:rFonts w:ascii="Calibri" w:cs="Calibri" w:eastAsia="Calibri" w:hAnsi="Calibri"/>
          <w:sz w:val="22"/>
          <w:szCs w:val="22"/>
        </w:rPr>
        <w:t xml:space="preserve">Governed by the laws of India per §24 of the Terms of Service.</w:t>
      </w:r>
    </w:p>
    <w:p>
      <w:pPr>
        <w:pStyle w:val="Heading2"/>
        <w:spacing w:after="120" w:before="240" w:line="300"/>
      </w:pPr>
      <w:r>
        <w:rPr>
          <w:rFonts w:ascii="Calibri" w:cs="Calibri" w:eastAsia="Calibri" w:hAnsi="Calibri"/>
          <w:b/>
          <w:bCs/>
          <w:color w:val="2E5496"/>
          <w:sz w:val="26"/>
          <w:szCs w:val="26"/>
        </w:rPr>
        <w:t xml:space="preserve">B. Dispute Resolution</w:t>
      </w:r>
    </w:p>
    <w:p>
      <w:pPr>
        <w:spacing w:after="120" w:line="300"/>
      </w:pPr>
      <w:r>
        <w:rPr>
          <w:rFonts w:ascii="Calibri" w:cs="Calibri" w:eastAsia="Calibri" w:hAnsi="Calibri"/>
          <w:sz w:val="22"/>
          <w:szCs w:val="22"/>
        </w:rPr>
        <w:t xml:space="preserve">Subject to the grievance, mediation, and arbitration framework in §24 of the Terms of Service; statutory rights are preserved.</w:t>
      </w:r>
    </w:p>
    <w:p>
      <w:pPr>
        <w:pStyle w:val="Heading2"/>
        <w:spacing w:after="120" w:before="240" w:line="300"/>
      </w:pPr>
      <w:r>
        <w:rPr>
          <w:rFonts w:ascii="Calibri" w:cs="Calibri" w:eastAsia="Calibri" w:hAnsi="Calibri"/>
          <w:b/>
          <w:bCs/>
          <w:color w:val="2E5496"/>
          <w:sz w:val="26"/>
          <w:szCs w:val="26"/>
        </w:rPr>
        <w:t xml:space="preserve">C. Amendments</w:t>
      </w:r>
    </w:p>
    <w:p>
      <w:pPr>
        <w:spacing w:after="120" w:line="300"/>
      </w:pPr>
      <w:r>
        <w:rPr>
          <w:rFonts w:ascii="Calibri" w:cs="Calibri" w:eastAsia="Calibri" w:hAnsi="Calibri"/>
          <w:sz w:val="22"/>
          <w:szCs w:val="22"/>
        </w:rPr>
        <w:t xml:space="preserve">Amended in accordance with §22 of the Terms of Service. Material amendments to scope, Safe Harbour, or notification commitments require prior notice and apply prospectively. Non-material amendments are posted at www.riseupcreators.com/security with a version log.</w:t>
      </w:r>
    </w:p>
    <w:p>
      <w:pPr>
        <w:pStyle w:val="Heading1"/>
        <w:spacing w:after="180" w:before="360" w:line="300"/>
      </w:pPr>
      <w:r>
        <w:rPr>
          <w:rFonts w:ascii="Calibri" w:cs="Calibri" w:eastAsia="Calibri" w:hAnsi="Calibri"/>
          <w:b/>
          <w:bCs/>
          <w:color w:val="1F3864"/>
          <w:sz w:val="30"/>
          <w:szCs w:val="30"/>
        </w:rPr>
        <w:t xml:space="preserve">Schedule A — CERT-In 6-Hour Reporting Quick-Reference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Item</w:t>
            </w:r>
          </w:p>
        </w:tc>
        <w:tc>
          <w:tcPr>
            <w:tcW w:type="dxa" w:w="63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Requirement</w:t>
            </w:r>
          </w:p>
        </w:tc>
      </w:tr>
      <w:tr>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Trigger</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Any incident in Annexure I of CERT-In Directions 2022 noticed by or brought to the Platform's notice</w:t>
            </w:r>
          </w:p>
        </w:tc>
      </w:tr>
      <w:tr>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Timeline</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Within six (6) hours of noticing</w:t>
            </w:r>
          </w:p>
        </w:tc>
      </w:tr>
      <w:tr>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Mode</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CERT-In's prescribed channels (helpdesk / portal at https://www.cert-in.org.in)</w:t>
            </w:r>
          </w:p>
        </w:tc>
      </w:tr>
      <w:tr>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Format</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CERT-In prescribed incident-reporting format</w:t>
            </w:r>
          </w:p>
        </w:tc>
      </w:tr>
      <w:tr>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Log retention</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ICT system logs retained for ≥180 days, maintained within Indian jurisdiction</w:t>
            </w:r>
          </w:p>
        </w:tc>
      </w:tr>
      <w:tr>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KYC retention by Platform</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Customer KYC retained as required (5 years post-closure under PMLA) — see Verification Terms §5(C)</w:t>
            </w:r>
          </w:p>
        </w:tc>
      </w:tr>
      <w:tr>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Sub-processor cooperation</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 from vendors whose systems are within the Platform's accountability</w:t>
            </w:r>
          </w:p>
        </w:tc>
      </w:tr>
    </w:tbl>
    <w:p>
      <w:pPr>
        <w:pStyle w:val="Heading1"/>
        <w:spacing w:after="180" w:before="360" w:line="300"/>
      </w:pPr>
      <w:r>
        <w:rPr>
          <w:rFonts w:ascii="Calibri" w:cs="Calibri" w:eastAsia="Calibri" w:hAnsi="Calibri"/>
          <w:b/>
          <w:bCs/>
          <w:color w:val="1F3864"/>
          <w:sz w:val="30"/>
          <w:szCs w:val="30"/>
        </w:rPr>
        <w:t xml:space="preserve">Schedule B — DPDP §8(6) Breach Notification Quick-Reference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Item</w:t>
            </w:r>
          </w:p>
        </w:tc>
        <w:tc>
          <w:tcPr>
            <w:tcW w:type="dxa" w:w="63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Requirement</w:t>
            </w:r>
          </w:p>
        </w:tc>
      </w:tr>
      <w:tr>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Trigger</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Personal Data Breach (DPDP, 2023, §2(u))</w:t>
            </w:r>
          </w:p>
        </w:tc>
      </w:tr>
      <w:tr>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Notify</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Data Protection Board of India and each affected Data Principal</w:t>
            </w:r>
          </w:p>
        </w:tc>
      </w:tr>
      <w:tr>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Timeline / form</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 prescribed under the Act and rules</w:t>
            </w:r>
          </w:p>
        </w:tc>
      </w:tr>
      <w:tr>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Content</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Description, scope, consequences, mitigation, contact for further information</w:t>
            </w:r>
          </w:p>
        </w:tc>
      </w:tr>
      <w:tr>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Affected Minors</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Communication must be intelligible to a parent/lawful guardian</w:t>
            </w:r>
          </w:p>
        </w:tc>
      </w:tr>
      <w:tr>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Cross-border</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Coordinate with GDPR Art. 33/34 timelines where EU/EEA Users are affected</w:t>
            </w:r>
          </w:p>
        </w:tc>
      </w:tr>
    </w:tbl>
    <w:p>
      <w:pPr>
        <w:pStyle w:val="Heading1"/>
        <w:spacing w:after="180" w:before="360" w:line="300"/>
      </w:pPr>
      <w:r>
        <w:rPr>
          <w:rFonts w:ascii="Calibri" w:cs="Calibri" w:eastAsia="Calibri" w:hAnsi="Calibri"/>
          <w:b/>
          <w:bCs/>
          <w:color w:val="1F3864"/>
          <w:sz w:val="30"/>
          <w:szCs w:val="30"/>
        </w:rPr>
        <w:t xml:space="preserve">Schedule C — Researcher Safe Harbour — Plain-Language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If a Researcher…</w:t>
            </w:r>
          </w:p>
        </w:tc>
        <w:tc>
          <w:tcPr>
            <w:tcW w:type="dxa" w:w="468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The Platform commits…</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Reports a Vulnerability in good faith under this Policy</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Not to initiate civil or criminal action under IT Act §43/§65/§66 and analogous provisions</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Limits access strictly to demonstration of the Vulnerability</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Not to terminate the Researcher's Account or block their access in retaliation</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Avoids harm to other Users and third parties</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To liaise with law enforcement on the Researcher's behalf if needed</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Respects coordinated-disclosure timing</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To acknowledge the Researcher publicly with consent</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Does NOT exceed the Rules of Engagement</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Safe Harbour does not apply where Rules are exceeded</w:t>
            </w:r>
          </w:p>
        </w:tc>
      </w:tr>
    </w:tbl>
    <w:p>
      <w:pPr>
        <w:pStyle w:val="Heading1"/>
        <w:spacing w:after="180" w:before="360" w:line="300"/>
      </w:pPr>
      <w:r>
        <w:rPr>
          <w:rFonts w:ascii="Calibri" w:cs="Calibri" w:eastAsia="Calibri" w:hAnsi="Calibri"/>
          <w:b/>
          <w:bCs/>
          <w:color w:val="1F3864"/>
          <w:sz w:val="30"/>
          <w:szCs w:val="30"/>
        </w:rPr>
        <w:t xml:space="preserve">Schedule D — Statutory and Regulatory Cross-Reference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60"/>
        <w:gridCol w:w="3700"/>
      </w:tblGrid>
      <w:tr>
        <w:trPr>
          <w:tblHeader/>
        </w:trPr>
        <w:tc>
          <w:tcPr>
            <w:tcW w:type="dxa" w:w="5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Statute / Regulation / Guidance</w:t>
            </w:r>
          </w:p>
        </w:tc>
        <w:tc>
          <w:tcPr>
            <w:tcW w:type="dxa" w:w="3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Section in This Policy</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§43 / §43A (compensation; reasonable security)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 §7(A)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§65 (tampering with source code)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§66 / §66B / §66C / §66D (computer-related offences)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§70B (CERT-In; CERT-In Directions 2022)</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§10(A), §11(A)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SPDI Rules, 2011 (reasonable security practices)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DPDP Act, 2023, §8(5) (security safeguards), §8(6) (breach notification)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 §10(B)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DPDP Act, 2023, §2(u) (definition of Personal Data Breach)</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 §10(B)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Bharatiya Nyaya Sanhita, 2023 (cognisable cyber offences)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§7(A), §10(C)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Indian Evidence Act, 1872, §65B / Bharatiya Sakshya Adhiniyam,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§9(D), §11(D)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Aadhaar Act 2016 / UIDAI guidelines (where Aadhaar is held)</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(via Verification Terms §4(C))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RBI Master Direction on KYC; Card-on-File Tokenisation Guidelines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§3(A), §10(C)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CERT-In Directions 28 April 2022 (6-hour reporting; 180-day logs; KYC retention)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§3(A), §9(D), §10(A), §11(A), Sch 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3(1)(l) (security incident reporting to CERT-In, where applicable)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4(5) (grievance timelines)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GDPR Articles 33 and 34 (breach notification)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NIS2 Directive (where applicable)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California Civil Code §1798.82 (and U.S. state-law equivalents)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NIST SP 800-61 (incident response framework — referenced)</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ISO/IEC 27001 / 27035 (referenced)</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§3(A), §9(A)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RFC 9116 (security.txt)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Computer Fraud and Abuse Act, U.S. (Safe Harbour clarification)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§7(A)</w:t>
            </w:r>
          </w:p>
        </w:tc>
      </w:tr>
    </w:tbl>
    <w:p>
      <w:pPr>
        <w:pStyle w:val="Heading1"/>
        <w:spacing w:after="180" w:before="360" w:line="300"/>
      </w:pPr>
      <w:r>
        <w:rPr>
          <w:rFonts w:ascii="Calibri" w:cs="Calibri" w:eastAsia="Calibri" w:hAnsi="Calibri"/>
          <w:b/>
          <w:bCs/>
          <w:color w:val="1F3864"/>
          <w:sz w:val="30"/>
          <w:szCs w:val="30"/>
        </w:rPr>
        <w:t xml:space="preserve">Schedule E — Acknowledgement</w:t>
      </w:r>
    </w:p>
    <w:p>
      <w:pPr>
        <w:spacing w:after="120" w:line="300"/>
      </w:pPr>
      <w:r>
        <w:rPr>
          <w:rFonts w:ascii="Calibri" w:cs="Calibri" w:eastAsia="Calibri" w:hAnsi="Calibri"/>
          <w:sz w:val="22"/>
          <w:szCs w:val="22"/>
        </w:rPr>
        <w:t xml:space="preserve">By interacting with this Policy — as a User, as a Researcher, or as a sub-processor — you acknowledge that:</w:t>
      </w:r>
    </w:p>
    <w:p>
      <w:pPr>
        <w:pStyle w:val="ListParagraph"/>
        <w:numPr>
          <w:ilvl w:val="0"/>
          <w:numId w:val="2"/>
        </w:numPr>
        <w:spacing w:after="80" w:line="280"/>
      </w:pPr>
      <w:r>
        <w:rPr>
          <w:rFonts w:ascii="Calibri" w:cs="Calibri" w:eastAsia="Calibri" w:hAnsi="Calibri"/>
          <w:sz w:val="22"/>
          <w:szCs w:val="22"/>
        </w:rPr>
        <w:t xml:space="preserve">The Platform implements reasonable technical and organisational security measures but does not warrant absolute security;</w:t>
      </w:r>
    </w:p>
    <w:p>
      <w:pPr>
        <w:pStyle w:val="ListParagraph"/>
        <w:numPr>
          <w:ilvl w:val="0"/>
          <w:numId w:val="2"/>
        </w:numPr>
        <w:spacing w:after="80" w:line="280"/>
      </w:pPr>
      <w:r>
        <w:rPr>
          <w:rFonts w:ascii="Calibri" w:cs="Calibri" w:eastAsia="Calibri" w:hAnsi="Calibri"/>
          <w:sz w:val="22"/>
          <w:szCs w:val="22"/>
        </w:rPr>
        <w:t xml:space="preserve">Good-faith Vulnerability research conducted under Sections 4–6 receives Safe Harbour under Section 7;</w:t>
      </w:r>
    </w:p>
    <w:p>
      <w:pPr>
        <w:pStyle w:val="ListParagraph"/>
        <w:numPr>
          <w:ilvl w:val="0"/>
          <w:numId w:val="2"/>
        </w:numPr>
        <w:spacing w:after="80" w:line="280"/>
      </w:pPr>
      <w:r>
        <w:rPr>
          <w:rFonts w:ascii="Calibri" w:cs="Calibri" w:eastAsia="Calibri" w:hAnsi="Calibri"/>
          <w:sz w:val="22"/>
          <w:szCs w:val="22"/>
        </w:rPr>
        <w:t xml:space="preserve">The Platform will discharge mandatory CERT-In 6-hour reporting and DPDP §8(6) breach-notification obligations regardless of business inconvenience;</w:t>
      </w:r>
    </w:p>
    <w:p>
      <w:pPr>
        <w:pStyle w:val="ListParagraph"/>
        <w:numPr>
          <w:ilvl w:val="0"/>
          <w:numId w:val="2"/>
        </w:numPr>
        <w:spacing w:after="80" w:line="280"/>
      </w:pPr>
      <w:r>
        <w:rPr>
          <w:rFonts w:ascii="Calibri" w:cs="Calibri" w:eastAsia="Calibri" w:hAnsi="Calibri"/>
          <w:sz w:val="22"/>
          <w:szCs w:val="22"/>
        </w:rPr>
        <w:t xml:space="preserve">The Platform will not engage in vulnerability extortion, hush-money payments, or any arrangement that frustrates statutory notification obligations;</w:t>
      </w:r>
    </w:p>
    <w:p>
      <w:pPr>
        <w:pStyle w:val="ListParagraph"/>
        <w:numPr>
          <w:ilvl w:val="0"/>
          <w:numId w:val="2"/>
        </w:numPr>
        <w:spacing w:after="80" w:line="280"/>
      </w:pPr>
      <w:r>
        <w:rPr>
          <w:rFonts w:ascii="Calibri" w:cs="Calibri" w:eastAsia="Calibri" w:hAnsi="Calibri"/>
          <w:sz w:val="22"/>
          <w:szCs w:val="22"/>
        </w:rPr>
        <w:t xml:space="preserve">You retain your statutory rights under the Terms of Service §24 and Applicable Law.</w:t>
      </w:r>
    </w:p>
    <w:p>
      <w:pPr>
        <w:spacing w:after="120"/>
      </w:pPr>
      <w:r>
        <w:t xml:space="preserve"/>
      </w:r>
    </w:p>
    <w:p>
      <w:pPr>
        <w:spacing w:after="120" w:before="240"/>
        <w:jc w:val="center"/>
      </w:pPr>
      <w:r>
        <w:rPr>
          <w:rFonts w:ascii="Calibri" w:cs="Calibri" w:eastAsia="Calibri" w:hAnsi="Calibri"/>
          <w:i/>
          <w:iCs/>
          <w:sz w:val="22"/>
          <w:szCs w:val="22"/>
        </w:rPr>
        <w:t xml:space="preserve">— End of Security &amp; Vulnerability Disclosure Policy —</w:t>
      </w:r>
    </w:p>
    <w:p>
      <w:pPr>
        <w:spacing w:after="60"/>
        <w:jc w:val="center"/>
      </w:pPr>
      <w:r>
        <w:rPr>
          <w:rFonts w:ascii="Calibri" w:cs="Calibri" w:eastAsia="Calibri" w:hAnsi="Calibri"/>
          <w:sz w:val="20"/>
          <w:szCs w:val="20"/>
        </w:rPr>
        <w:t xml:space="preserve">Sharde Media and Productions Pvt. Ltd. | CIN: U90009BR2023PTC062405 | security@riseupcreators.com | grievance@riseupcreators.com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8"/>
        <w:szCs w:val="18"/>
      </w:rPr>
      <w:t xml:space="preserve">Confidential — For internal compliance and regulatory review   |   Page </w:t>
    </w:r>
    <w:r>
      <w:rPr>
        <w:rFonts w:ascii="Calibri" w:cs="Calibri" w:eastAsia="Calibri" w:hAnsi="Calibri"/>
        <w:color w:val="808080"/>
        <w:sz w:val="18"/>
        <w:szCs w:val="18"/>
      </w:rPr>
      <w:fldChar w:fldCharType="begin"/>
      <w:instrText xml:space="preserve">PAGE</w:instrText>
      <w:fldChar w:fldCharType="separate"/>
      <w:fldChar w:fldCharType="end"/>
    </w:r>
    <w:r>
      <w:rPr>
        <w:rFonts w:ascii="Calibri" w:cs="Calibri" w:eastAsia="Calibri" w:hAnsi="Calibri"/>
        <w:color w:val="808080"/>
        <w:sz w:val="18"/>
        <w:szCs w:val="18"/>
      </w:rPr>
      <w:t xml:space="preserve"> of </w:t>
    </w:r>
    <w:r>
      <w:rPr>
        <w:rFonts w:ascii="Calibri" w:cs="Calibri" w:eastAsia="Calibri" w:hAnsi="Calibri"/>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8"/>
        <w:szCs w:val="18"/>
      </w:rPr>
      <w:t xml:space="preserve">RiseUp Creators — Security &amp; Vulnerability Disclosure Policy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20" w:before="240"/>
      <w:outlineLvl w:val="1"/>
    </w:pPr>
    <w:rPr>
      <w:rFonts w:ascii="Calibri" w:cs="Calibri" w:eastAsia="Calibri" w:hAnsi="Calibri"/>
      <w:b/>
      <w:bCs/>
      <w:color w:val="2E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RiseUp Creators — Security &amp; Vulnerability Disclosure Policy v1.0</dc:title>
  <dc:creator>Sharde Media and Productions Pvt. Ltd.</dc:creator>
  <cp:lastModifiedBy>Un-named</cp:lastModifiedBy>
  <cp:revision>1</cp:revision>
  <dcterms:created xsi:type="dcterms:W3CDTF">2026-05-29T02:23:36.479Z</dcterms:created>
  <dcterms:modified xsi:type="dcterms:W3CDTF">2026-05-29T02:23:36.480Z</dcterms:modified>
</cp:coreProperties>
</file>

<file path=docProps/custom.xml><?xml version="1.0" encoding="utf-8"?>
<Properties xmlns="http://schemas.openxmlformats.org/officeDocument/2006/custom-properties" xmlns:vt="http://schemas.openxmlformats.org/officeDocument/2006/docPropsVTypes"/>
</file>